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0869C" w14:textId="78D994E2" w:rsidR="005616C8" w:rsidRPr="00F60E1E" w:rsidRDefault="00F60E1E">
      <w:pPr>
        <w:spacing w:before="81"/>
        <w:ind w:left="2427"/>
        <w:rPr>
          <w:sz w:val="13"/>
          <w:lang w:val="pl-PL"/>
        </w:rPr>
      </w:pPr>
      <w:r w:rsidRPr="00F60E1E">
        <w:rPr>
          <w:noProof/>
          <w:sz w:val="17"/>
        </w:rPr>
        <w:drawing>
          <wp:anchor distT="0" distB="0" distL="114300" distR="114300" simplePos="0" relativeHeight="251657216" behindDoc="0" locked="0" layoutInCell="1" allowOverlap="1" wp14:anchorId="7C59D816" wp14:editId="7017CC07">
            <wp:simplePos x="0" y="0"/>
            <wp:positionH relativeFrom="column">
              <wp:posOffset>-9552</wp:posOffset>
            </wp:positionH>
            <wp:positionV relativeFrom="paragraph">
              <wp:posOffset>-290306</wp:posOffset>
            </wp:positionV>
            <wp:extent cx="965200" cy="1047750"/>
            <wp:effectExtent l="0" t="0" r="6350" b="0"/>
            <wp:wrapNone/>
            <wp:docPr id="126237178" name="Obraz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37178" name="Obraz 1" descr="Obraz zawierający tekst, Czcionka, logo, Grafika&#10;&#10;Opis wygenerowany automatycznie"/>
                    <pic:cNvPicPr/>
                  </pic:nvPicPr>
                  <pic:blipFill>
                    <a:blip r:embed="rId7">
                      <a:extLst>
                        <a:ext uri="{28A0092B-C50C-407E-A947-70E740481C1C}">
                          <a14:useLocalDpi xmlns:a14="http://schemas.microsoft.com/office/drawing/2010/main" val="0"/>
                        </a:ext>
                      </a:extLst>
                    </a:blip>
                    <a:stretch>
                      <a:fillRect/>
                    </a:stretch>
                  </pic:blipFill>
                  <pic:spPr>
                    <a:xfrm>
                      <a:off x="0" y="0"/>
                      <a:ext cx="965200" cy="1047750"/>
                    </a:xfrm>
                    <a:prstGeom prst="rect">
                      <a:avLst/>
                    </a:prstGeom>
                  </pic:spPr>
                </pic:pic>
              </a:graphicData>
            </a:graphic>
          </wp:anchor>
        </w:drawing>
      </w:r>
      <w:r w:rsidRPr="00F60E1E">
        <w:rPr>
          <w:sz w:val="13"/>
          <w:lang w:val="pl-PL"/>
        </w:rPr>
        <w:t>Ernst &amp; Young Audyt Polska</w:t>
      </w:r>
    </w:p>
    <w:p w14:paraId="5E39F8E2" w14:textId="77777777" w:rsidR="00F60E1E" w:rsidRDefault="00000000">
      <w:pPr>
        <w:spacing w:before="12" w:line="232" w:lineRule="auto"/>
        <w:ind w:left="2427" w:firstLine="6"/>
        <w:rPr>
          <w:sz w:val="13"/>
          <w:lang w:val="pl-PL"/>
        </w:rPr>
      </w:pPr>
      <w:r w:rsidRPr="00F60E1E">
        <w:rPr>
          <w:sz w:val="13"/>
          <w:lang w:val="pl-PL"/>
        </w:rPr>
        <w:t>spółka z ograniczoną odpowiedzialnością sp. k.</w:t>
      </w:r>
    </w:p>
    <w:p w14:paraId="1E98F567" w14:textId="38E9038D" w:rsidR="005616C8" w:rsidRPr="00F60E1E" w:rsidRDefault="00000000">
      <w:pPr>
        <w:spacing w:before="12" w:line="232" w:lineRule="auto"/>
        <w:ind w:left="2427" w:firstLine="6"/>
        <w:rPr>
          <w:sz w:val="13"/>
          <w:lang w:val="pl-PL"/>
        </w:rPr>
      </w:pPr>
      <w:r w:rsidRPr="00F60E1E">
        <w:rPr>
          <w:sz w:val="13"/>
          <w:lang w:val="pl-PL"/>
        </w:rPr>
        <w:t>Rondo ONZ 1</w:t>
      </w:r>
    </w:p>
    <w:p w14:paraId="6D0B2517" w14:textId="7D152B67" w:rsidR="005616C8" w:rsidRPr="00287EDB" w:rsidRDefault="00000000">
      <w:pPr>
        <w:spacing w:before="8"/>
        <w:ind w:left="2420"/>
        <w:rPr>
          <w:sz w:val="13"/>
          <w:lang w:val="pl-PL"/>
        </w:rPr>
      </w:pPr>
      <w:r w:rsidRPr="00287EDB">
        <w:rPr>
          <w:sz w:val="13"/>
          <w:lang w:val="pl-PL"/>
        </w:rPr>
        <w:t>00-124 Warsaw</w:t>
      </w:r>
    </w:p>
    <w:p w14:paraId="5F9AD7CB" w14:textId="4BDABFB5" w:rsidR="005616C8" w:rsidRPr="00287EDB" w:rsidRDefault="00000000">
      <w:pPr>
        <w:spacing w:before="81"/>
        <w:ind w:left="418"/>
        <w:rPr>
          <w:sz w:val="13"/>
          <w:lang w:val="pl-PL"/>
        </w:rPr>
      </w:pPr>
      <w:r w:rsidRPr="00287EDB">
        <w:rPr>
          <w:lang w:val="pl-PL"/>
        </w:rPr>
        <w:br w:type="column"/>
      </w:r>
      <w:r w:rsidRPr="00287EDB">
        <w:rPr>
          <w:sz w:val="13"/>
          <w:lang w:val="pl-PL"/>
        </w:rPr>
        <w:t>+48 (0) 22 557 70 00</w:t>
      </w:r>
    </w:p>
    <w:p w14:paraId="52556B13" w14:textId="77777777" w:rsidR="005616C8" w:rsidRPr="00287EDB" w:rsidRDefault="00000000">
      <w:pPr>
        <w:spacing w:before="8" w:line="143" w:lineRule="exact"/>
        <w:ind w:left="418"/>
        <w:rPr>
          <w:sz w:val="13"/>
          <w:lang w:val="pl-PL"/>
        </w:rPr>
      </w:pPr>
      <w:r w:rsidRPr="00287EDB">
        <w:rPr>
          <w:sz w:val="13"/>
          <w:lang w:val="pl-PL"/>
        </w:rPr>
        <w:t>+48 (0) 22 557 70 01</w:t>
      </w:r>
    </w:p>
    <w:p w14:paraId="31F99A0F" w14:textId="77777777" w:rsidR="005616C8" w:rsidRPr="00287EDB" w:rsidRDefault="00000000">
      <w:pPr>
        <w:spacing w:line="154" w:lineRule="exact"/>
        <w:ind w:left="413"/>
        <w:rPr>
          <w:sz w:val="14"/>
          <w:lang w:val="pl-PL"/>
        </w:rPr>
      </w:pPr>
      <w:hyperlink r:id="rId8">
        <w:r w:rsidRPr="00287EDB">
          <w:rPr>
            <w:sz w:val="14"/>
            <w:lang w:val="pl-PL"/>
          </w:rPr>
          <w:t>warszawa@pl.ey.com</w:t>
        </w:r>
      </w:hyperlink>
    </w:p>
    <w:p w14:paraId="4F980957" w14:textId="77777777" w:rsidR="005616C8" w:rsidRPr="000B2EEE" w:rsidRDefault="00000000">
      <w:pPr>
        <w:spacing w:before="6"/>
        <w:ind w:left="413"/>
        <w:rPr>
          <w:sz w:val="13"/>
        </w:rPr>
      </w:pPr>
      <w:hyperlink r:id="rId9">
        <w:r>
          <w:rPr>
            <w:sz w:val="13"/>
          </w:rPr>
          <w:t>www.ey.com/pl</w:t>
        </w:r>
      </w:hyperlink>
    </w:p>
    <w:p w14:paraId="16AB2AEC" w14:textId="77777777" w:rsidR="005616C8" w:rsidRPr="000B2EEE" w:rsidRDefault="005616C8">
      <w:pPr>
        <w:rPr>
          <w:sz w:val="13"/>
        </w:rPr>
        <w:sectPr w:rsidR="005616C8" w:rsidRPr="000B2EEE">
          <w:type w:val="continuous"/>
          <w:pgSz w:w="11900" w:h="16840"/>
          <w:pgMar w:top="1220" w:right="1680" w:bottom="280" w:left="1680" w:header="708" w:footer="708" w:gutter="0"/>
          <w:cols w:num="2" w:space="708" w:equalWidth="0">
            <w:col w:w="5413" w:space="593"/>
            <w:col w:w="2534"/>
          </w:cols>
        </w:sectPr>
      </w:pPr>
    </w:p>
    <w:p w14:paraId="3F9A4AD2" w14:textId="332B3DCD" w:rsidR="005616C8" w:rsidRPr="000B2EEE" w:rsidRDefault="005616C8">
      <w:pPr>
        <w:pStyle w:val="Tekstpodstawowy"/>
        <w:spacing w:before="136"/>
        <w:rPr>
          <w:sz w:val="17"/>
        </w:rPr>
      </w:pPr>
    </w:p>
    <w:p w14:paraId="19EA6C85" w14:textId="77777777" w:rsidR="005616C8" w:rsidRDefault="005616C8">
      <w:pPr>
        <w:pStyle w:val="Tekstpodstawowy"/>
        <w:spacing w:before="117"/>
        <w:rPr>
          <w:b/>
          <w:sz w:val="17"/>
        </w:rPr>
      </w:pPr>
    </w:p>
    <w:p w14:paraId="06B92221" w14:textId="77777777" w:rsidR="00F60E1E" w:rsidRPr="000B2EEE" w:rsidRDefault="00F60E1E">
      <w:pPr>
        <w:pStyle w:val="Tekstpodstawowy"/>
        <w:spacing w:before="117"/>
        <w:rPr>
          <w:b/>
          <w:sz w:val="17"/>
        </w:rPr>
      </w:pPr>
    </w:p>
    <w:p w14:paraId="5151F4F2" w14:textId="77777777" w:rsidR="005616C8" w:rsidRPr="000B2EEE" w:rsidRDefault="00000000">
      <w:pPr>
        <w:ind w:left="191"/>
        <w:rPr>
          <w:b/>
          <w:sz w:val="21"/>
        </w:rPr>
      </w:pPr>
      <w:r>
        <w:rPr>
          <w:b/>
          <w:sz w:val="21"/>
        </w:rPr>
        <w:t>INDEPENDENT STATUTORY AUDITOR’S REPORT ON THE AUDIT</w:t>
      </w:r>
    </w:p>
    <w:p w14:paraId="502EBE75" w14:textId="77777777" w:rsidR="005616C8" w:rsidRPr="000B2EEE" w:rsidRDefault="005616C8">
      <w:pPr>
        <w:pStyle w:val="Tekstpodstawowy"/>
        <w:rPr>
          <w:b/>
          <w:sz w:val="21"/>
        </w:rPr>
      </w:pPr>
    </w:p>
    <w:p w14:paraId="2C4D607A" w14:textId="77777777" w:rsidR="005616C8" w:rsidRPr="000B2EEE" w:rsidRDefault="005616C8">
      <w:pPr>
        <w:pStyle w:val="Tekstpodstawowy"/>
        <w:spacing w:before="90"/>
        <w:rPr>
          <w:b/>
          <w:sz w:val="21"/>
        </w:rPr>
      </w:pPr>
    </w:p>
    <w:p w14:paraId="2F7AF739" w14:textId="77777777" w:rsidR="005616C8" w:rsidRPr="00F60E1E" w:rsidRDefault="00000000">
      <w:pPr>
        <w:pStyle w:val="Tekstpodstawowy"/>
        <w:ind w:left="184"/>
        <w:rPr>
          <w:rFonts w:ascii="Times New Roman"/>
          <w:b/>
          <w:bCs/>
        </w:rPr>
      </w:pPr>
      <w:r w:rsidRPr="00F60E1E">
        <w:rPr>
          <w:b/>
          <w:bCs/>
        </w:rPr>
        <w:t>For the General Meeting and the Supervisory Board of Celon Pharma S.A.</w:t>
      </w:r>
    </w:p>
    <w:p w14:paraId="1B6B0373" w14:textId="77777777" w:rsidR="005616C8" w:rsidRPr="00F60E1E" w:rsidRDefault="005616C8">
      <w:pPr>
        <w:pStyle w:val="Tekstpodstawowy"/>
        <w:rPr>
          <w:rFonts w:ascii="Times New Roman"/>
          <w:b/>
          <w:bCs/>
        </w:rPr>
      </w:pPr>
    </w:p>
    <w:p w14:paraId="73702007" w14:textId="77777777" w:rsidR="005616C8" w:rsidRPr="00F60E1E" w:rsidRDefault="005616C8">
      <w:pPr>
        <w:pStyle w:val="Tekstpodstawowy"/>
        <w:spacing w:before="31"/>
        <w:rPr>
          <w:rFonts w:ascii="Times New Roman"/>
          <w:b/>
          <w:bCs/>
        </w:rPr>
      </w:pPr>
    </w:p>
    <w:p w14:paraId="2F8990CC" w14:textId="77777777" w:rsidR="005616C8" w:rsidRPr="00F60E1E" w:rsidRDefault="00000000">
      <w:pPr>
        <w:pStyle w:val="Tekstpodstawowy"/>
        <w:ind w:left="190"/>
        <w:rPr>
          <w:b/>
          <w:bCs/>
        </w:rPr>
      </w:pPr>
      <w:r w:rsidRPr="00F60E1E">
        <w:rPr>
          <w:b/>
          <w:bCs/>
        </w:rPr>
        <w:t>Report on the Audit of the Annual Financial Statements</w:t>
      </w:r>
    </w:p>
    <w:p w14:paraId="4B84BD72" w14:textId="77777777" w:rsidR="005616C8" w:rsidRPr="00F60E1E" w:rsidRDefault="005616C8">
      <w:pPr>
        <w:pStyle w:val="Tekstpodstawowy"/>
        <w:rPr>
          <w:b/>
          <w:bCs/>
        </w:rPr>
      </w:pPr>
    </w:p>
    <w:p w14:paraId="3E64A85D" w14:textId="77777777" w:rsidR="005616C8" w:rsidRPr="00F60E1E" w:rsidRDefault="005616C8">
      <w:pPr>
        <w:pStyle w:val="Tekstpodstawowy"/>
        <w:spacing w:before="56"/>
        <w:rPr>
          <w:b/>
          <w:bCs/>
        </w:rPr>
      </w:pPr>
    </w:p>
    <w:p w14:paraId="369BCB7B" w14:textId="77777777" w:rsidR="005616C8" w:rsidRPr="00F60E1E" w:rsidRDefault="00000000">
      <w:pPr>
        <w:pStyle w:val="Tekstpodstawowy"/>
        <w:ind w:left="177"/>
        <w:rPr>
          <w:b/>
          <w:bCs/>
        </w:rPr>
      </w:pPr>
      <w:r w:rsidRPr="00F60E1E">
        <w:rPr>
          <w:b/>
          <w:bCs/>
        </w:rPr>
        <w:t>Opinion</w:t>
      </w:r>
    </w:p>
    <w:p w14:paraId="11DA0368" w14:textId="77777777" w:rsidR="005616C8" w:rsidRPr="000B2EEE" w:rsidRDefault="00000000" w:rsidP="00F60E1E">
      <w:pPr>
        <w:pStyle w:val="Tekstpodstawowy"/>
        <w:spacing w:before="204" w:line="252" w:lineRule="auto"/>
        <w:ind w:left="175" w:right="35" w:firstLine="9"/>
        <w:jc w:val="both"/>
      </w:pPr>
      <w:r>
        <w:t xml:space="preserve">We have audited the annual financial statements of Celon Pharma S.A. with its registered seat in </w:t>
      </w:r>
      <w:proofErr w:type="spellStart"/>
      <w:r>
        <w:t>Kiełpin</w:t>
      </w:r>
      <w:proofErr w:type="spellEnd"/>
      <w:r>
        <w:t xml:space="preserve">, ul. </w:t>
      </w:r>
      <w:proofErr w:type="spellStart"/>
      <w:r>
        <w:t>Ogrodowa</w:t>
      </w:r>
      <w:proofErr w:type="spellEnd"/>
      <w:r>
        <w:t xml:space="preserve"> 2A (the “Company”), which comprise of the statement of financial position as of December 31, 2024, the statement of comprehensive income, the statement of cash flows, and the statement of changes in shareholders’ equity for the period from January 1, 2024 to December 31, 2024, as well as the summary of significant accounting policies and the accompanying notes to the financial statements (collectively referred to as the “financial statements”).</w:t>
      </w:r>
    </w:p>
    <w:p w14:paraId="73C15876" w14:textId="77777777" w:rsidR="005616C8" w:rsidRPr="000B2EEE" w:rsidRDefault="00000000" w:rsidP="00F60E1E">
      <w:pPr>
        <w:pStyle w:val="Tekstpodstawowy"/>
        <w:spacing w:before="110"/>
        <w:ind w:left="184" w:right="35"/>
      </w:pPr>
      <w:r>
        <w:t>In our opinion, the financial statements:</w:t>
      </w:r>
    </w:p>
    <w:p w14:paraId="5B6BA319" w14:textId="79000944" w:rsidR="005616C8" w:rsidRPr="000B2EEE" w:rsidRDefault="00000000" w:rsidP="00F60E1E">
      <w:pPr>
        <w:pStyle w:val="Akapitzlist"/>
        <w:numPr>
          <w:ilvl w:val="0"/>
          <w:numId w:val="7"/>
        </w:numPr>
        <w:tabs>
          <w:tab w:val="left" w:pos="499"/>
          <w:tab w:val="left" w:pos="501"/>
        </w:tabs>
        <w:spacing w:before="120" w:line="252" w:lineRule="auto"/>
        <w:ind w:right="35"/>
        <w:rPr>
          <w:sz w:val="18"/>
          <w:szCs w:val="18"/>
        </w:rPr>
      </w:pPr>
      <w:r>
        <w:rPr>
          <w:sz w:val="18"/>
        </w:rPr>
        <w:t>provide a fair account, in all material respects, of the Company's financial position as of December 31, 2024, and its financial performance and cash flows for the period from January 1, 2024 to December 31, 2024, in accordance with the International Financial Reporting Standards as adopted by the European Union and the accounting policies adopted by the Company,</w:t>
      </w:r>
    </w:p>
    <w:p w14:paraId="4B5CD637" w14:textId="77777777" w:rsidR="005616C8" w:rsidRPr="000B2EEE" w:rsidRDefault="00000000" w:rsidP="00F60E1E">
      <w:pPr>
        <w:pStyle w:val="Akapitzlist"/>
        <w:numPr>
          <w:ilvl w:val="0"/>
          <w:numId w:val="7"/>
        </w:numPr>
        <w:tabs>
          <w:tab w:val="left" w:pos="508"/>
        </w:tabs>
        <w:spacing w:before="74"/>
        <w:ind w:left="508" w:right="35" w:hanging="332"/>
        <w:rPr>
          <w:sz w:val="18"/>
          <w:szCs w:val="18"/>
        </w:rPr>
      </w:pPr>
      <w:r>
        <w:rPr>
          <w:sz w:val="18"/>
        </w:rPr>
        <w:t>are consistent in terms of form and content with the legal regulations applicable to the Company and its articles of association,</w:t>
      </w:r>
    </w:p>
    <w:p w14:paraId="4392D78B" w14:textId="77777777" w:rsidR="005616C8" w:rsidRPr="000B2EEE" w:rsidRDefault="00000000" w:rsidP="00F60E1E">
      <w:pPr>
        <w:pStyle w:val="Akapitzlist"/>
        <w:numPr>
          <w:ilvl w:val="0"/>
          <w:numId w:val="7"/>
        </w:numPr>
        <w:tabs>
          <w:tab w:val="left" w:pos="507"/>
        </w:tabs>
        <w:spacing w:before="71" w:line="252" w:lineRule="auto"/>
        <w:ind w:left="507" w:right="35" w:hanging="331"/>
        <w:rPr>
          <w:sz w:val="18"/>
          <w:szCs w:val="18"/>
        </w:rPr>
      </w:pPr>
      <w:r>
        <w:rPr>
          <w:sz w:val="18"/>
        </w:rPr>
        <w:t>have been prepared based on properly maintained accounting records in accordance with the provisions of Chapter 2 of the Accounting Act of September 29, 1994 (the “Accounting Act”).</w:t>
      </w:r>
    </w:p>
    <w:p w14:paraId="7363C7FC" w14:textId="117067BF" w:rsidR="005616C8" w:rsidRPr="000B2EEE" w:rsidRDefault="00000000" w:rsidP="00F60E1E">
      <w:pPr>
        <w:pStyle w:val="Tekstpodstawowy"/>
        <w:spacing w:before="109" w:line="252" w:lineRule="auto"/>
        <w:ind w:left="180" w:right="35" w:firstLine="4"/>
        <w:jc w:val="both"/>
      </w:pPr>
      <w:r>
        <w:t>This opinion is consistent with the additional report for the Audit Committee that we issued on April 30, 2025.</w:t>
      </w:r>
    </w:p>
    <w:p w14:paraId="55FBFC3E" w14:textId="77777777" w:rsidR="005616C8" w:rsidRPr="000B2EEE" w:rsidRDefault="005616C8" w:rsidP="00F60E1E">
      <w:pPr>
        <w:pStyle w:val="Tekstpodstawowy"/>
        <w:spacing w:before="144"/>
        <w:ind w:right="35"/>
      </w:pPr>
    </w:p>
    <w:p w14:paraId="3F08AD5E" w14:textId="77777777" w:rsidR="005616C8" w:rsidRPr="00F60E1E" w:rsidRDefault="00000000" w:rsidP="00F60E1E">
      <w:pPr>
        <w:pStyle w:val="Tekstpodstawowy"/>
        <w:ind w:left="184" w:right="35"/>
        <w:rPr>
          <w:b/>
          <w:bCs/>
        </w:rPr>
      </w:pPr>
      <w:r w:rsidRPr="00F60E1E">
        <w:rPr>
          <w:b/>
          <w:bCs/>
        </w:rPr>
        <w:t>Basis for the opinion</w:t>
      </w:r>
    </w:p>
    <w:p w14:paraId="693E2344" w14:textId="61C6E9B2" w:rsidR="005616C8" w:rsidRPr="000B2EEE" w:rsidRDefault="00000000" w:rsidP="00F60E1E">
      <w:pPr>
        <w:pStyle w:val="Tekstpodstawowy"/>
        <w:spacing w:before="204" w:line="252" w:lineRule="auto"/>
        <w:ind w:left="180" w:right="35" w:firstLine="4"/>
        <w:jc w:val="both"/>
      </w:pPr>
      <w:r>
        <w:t>We performed our audit in accordance with National Auditing Standards, as set out in International Auditing Standards (the “IAS“), and in accordance with the Act of May 11, 2017, on statutory auditors, audit firms, and public oversight (“the Act on Statutory Auditors”) and Regulation (EU) No. 537/2014 of the European Parliament and of the Council of April 16, 2014, on specific requirements regarding statutory audits of public-interest entities and repealing Commission Decision 2005/909/EC (the “EU Regulation"). Our responsibilities pursuant to those standards are further described in the “Responsibilities of the statutory auditor for auditing the financial statements” section of our report.</w:t>
      </w:r>
    </w:p>
    <w:p w14:paraId="0FDBCD4F" w14:textId="77777777" w:rsidR="005616C8" w:rsidRPr="000B2EEE" w:rsidRDefault="00000000" w:rsidP="00F60E1E">
      <w:pPr>
        <w:pStyle w:val="Tekstpodstawowy"/>
        <w:spacing w:before="110" w:line="252" w:lineRule="auto"/>
        <w:ind w:left="175" w:right="35" w:firstLine="6"/>
        <w:jc w:val="both"/>
      </w:pPr>
      <w:r>
        <w:t>We are independent of the Company in accordance with the International Code of Ethics for Professional Accountants (including the International Standards on Independence) of the International Ethics Standards Board for Accountants (the “</w:t>
      </w:r>
      <w:proofErr w:type="spellStart"/>
      <w:r>
        <w:t>IESBA</w:t>
      </w:r>
      <w:proofErr w:type="spellEnd"/>
      <w:r>
        <w:t xml:space="preserve"> Code”) adopted by resolutions of the National Council of Statutory Auditors and other ethical requirements applicable to the audit of financial statements in Poland. We have fulfilled our other ethical responsibilities in accordance with these requirements and the </w:t>
      </w:r>
      <w:proofErr w:type="spellStart"/>
      <w:r>
        <w:t>IESBA</w:t>
      </w:r>
      <w:proofErr w:type="spellEnd"/>
      <w:r>
        <w:t xml:space="preserve"> Code. During the audit, the key statutory auditor and the audit company remained independent of the Company in accordance with the independence requirements set out in the Act on Statutory Auditors and the EU Regulation.</w:t>
      </w:r>
    </w:p>
    <w:p w14:paraId="7E600EDC" w14:textId="77777777" w:rsidR="005616C8" w:rsidRDefault="005616C8">
      <w:pPr>
        <w:pStyle w:val="Tekstpodstawowy"/>
        <w:spacing w:before="175"/>
      </w:pPr>
    </w:p>
    <w:p w14:paraId="3E47902D" w14:textId="77777777" w:rsidR="00F60E1E" w:rsidRDefault="00F60E1E">
      <w:pPr>
        <w:pStyle w:val="Tekstpodstawowy"/>
        <w:spacing w:before="175"/>
      </w:pPr>
    </w:p>
    <w:p w14:paraId="01E9B1A7" w14:textId="77777777" w:rsidR="00F60E1E" w:rsidRDefault="00F60E1E">
      <w:pPr>
        <w:pStyle w:val="Tekstpodstawowy"/>
        <w:spacing w:before="175"/>
      </w:pPr>
    </w:p>
    <w:p w14:paraId="288BE81E" w14:textId="77777777" w:rsidR="00F60E1E" w:rsidRPr="000B2EEE" w:rsidRDefault="00F60E1E">
      <w:pPr>
        <w:pStyle w:val="Tekstpodstawowy"/>
        <w:spacing w:before="175"/>
      </w:pPr>
    </w:p>
    <w:p w14:paraId="462712D8" w14:textId="4940FE43" w:rsidR="005616C8" w:rsidRPr="00F60E1E" w:rsidRDefault="00000000">
      <w:pPr>
        <w:ind w:left="177"/>
        <w:rPr>
          <w:sz w:val="14"/>
          <w:szCs w:val="14"/>
        </w:rPr>
      </w:pPr>
      <w:r w:rsidRPr="00F60E1E">
        <w:rPr>
          <w:sz w:val="14"/>
          <w:szCs w:val="18"/>
        </w:rPr>
        <w:t>ERNST &amp; YOUNG IN POLAND IS A MEMBER OF THE GLOBAL ERNST &amp; YOUNG</w:t>
      </w:r>
    </w:p>
    <w:p w14:paraId="640ACB4C" w14:textId="4077F46F" w:rsidR="005616C8" w:rsidRPr="00F60E1E" w:rsidRDefault="00000000">
      <w:pPr>
        <w:spacing w:before="19"/>
        <w:ind w:left="177"/>
        <w:rPr>
          <w:sz w:val="14"/>
          <w:szCs w:val="14"/>
          <w:lang w:val="pl-PL"/>
        </w:rPr>
      </w:pPr>
      <w:r w:rsidRPr="00F60E1E">
        <w:rPr>
          <w:sz w:val="14"/>
          <w:szCs w:val="18"/>
          <w:lang w:val="pl-PL"/>
        </w:rPr>
        <w:t>Ernst &amp; Young Audyt Polska spółka z ograniczoną odpowiedzialnością sp. k.</w:t>
      </w:r>
    </w:p>
    <w:p w14:paraId="0D2612DB" w14:textId="2048CF8C" w:rsidR="005616C8" w:rsidRPr="00F60E1E" w:rsidRDefault="00000000">
      <w:pPr>
        <w:spacing w:before="31"/>
        <w:ind w:left="181"/>
        <w:rPr>
          <w:sz w:val="14"/>
          <w:szCs w:val="14"/>
        </w:rPr>
      </w:pPr>
      <w:r w:rsidRPr="00F60E1E">
        <w:rPr>
          <w:sz w:val="14"/>
          <w:szCs w:val="18"/>
        </w:rPr>
        <w:t>The District Court for the capital city of Warsaw in Warsaw, 12th Commercial Division of the National Court Register, KRS No.: 0000481039, NIP No.: 526 020-79·76</w:t>
      </w:r>
    </w:p>
    <w:p w14:paraId="08AE12C9" w14:textId="77777777" w:rsidR="005616C8" w:rsidRPr="000B2EEE" w:rsidRDefault="005616C8">
      <w:pPr>
        <w:rPr>
          <w:sz w:val="18"/>
          <w:szCs w:val="18"/>
        </w:rPr>
        <w:sectPr w:rsidR="005616C8" w:rsidRPr="000B2EEE">
          <w:type w:val="continuous"/>
          <w:pgSz w:w="11900" w:h="16840"/>
          <w:pgMar w:top="1220" w:right="1680" w:bottom="280" w:left="1680" w:header="708" w:footer="708" w:gutter="0"/>
          <w:cols w:space="708"/>
        </w:sectPr>
      </w:pPr>
    </w:p>
    <w:p w14:paraId="1913577A" w14:textId="19E4B83E" w:rsidR="005616C8" w:rsidRPr="000B2EEE" w:rsidRDefault="00F60E1E">
      <w:pPr>
        <w:pStyle w:val="Tekstpodstawowy"/>
      </w:pPr>
      <w:r w:rsidRPr="00F60E1E">
        <w:rPr>
          <w:noProof/>
          <w:sz w:val="17"/>
        </w:rPr>
        <w:lastRenderedPageBreak/>
        <w:drawing>
          <wp:anchor distT="0" distB="0" distL="114300" distR="114300" simplePos="0" relativeHeight="251658240" behindDoc="0" locked="0" layoutInCell="1" allowOverlap="1" wp14:anchorId="767CE881" wp14:editId="1546D15F">
            <wp:simplePos x="0" y="0"/>
            <wp:positionH relativeFrom="column">
              <wp:posOffset>0</wp:posOffset>
            </wp:positionH>
            <wp:positionV relativeFrom="paragraph">
              <wp:posOffset>-1057882</wp:posOffset>
            </wp:positionV>
            <wp:extent cx="965200" cy="1047750"/>
            <wp:effectExtent l="0" t="0" r="6350" b="0"/>
            <wp:wrapNone/>
            <wp:docPr id="155223463" name="Obraz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37178" name="Obraz 1" descr="Obraz zawierający tekst, Czcionka, logo, Grafika&#10;&#10;Opis wygenerowany automatycznie"/>
                    <pic:cNvPicPr/>
                  </pic:nvPicPr>
                  <pic:blipFill>
                    <a:blip r:embed="rId7">
                      <a:extLst>
                        <a:ext uri="{28A0092B-C50C-407E-A947-70E740481C1C}">
                          <a14:useLocalDpi xmlns:a14="http://schemas.microsoft.com/office/drawing/2010/main" val="0"/>
                        </a:ext>
                      </a:extLst>
                    </a:blip>
                    <a:stretch>
                      <a:fillRect/>
                    </a:stretch>
                  </pic:blipFill>
                  <pic:spPr>
                    <a:xfrm>
                      <a:off x="0" y="0"/>
                      <a:ext cx="965200" cy="1047750"/>
                    </a:xfrm>
                    <a:prstGeom prst="rect">
                      <a:avLst/>
                    </a:prstGeom>
                  </pic:spPr>
                </pic:pic>
              </a:graphicData>
            </a:graphic>
          </wp:anchor>
        </w:drawing>
      </w:r>
    </w:p>
    <w:p w14:paraId="160FAE7A" w14:textId="77777777" w:rsidR="005616C8" w:rsidRPr="000B2EEE" w:rsidRDefault="005616C8">
      <w:pPr>
        <w:pStyle w:val="Tekstpodstawowy"/>
        <w:spacing w:before="94"/>
      </w:pPr>
    </w:p>
    <w:p w14:paraId="72A538E9" w14:textId="04EA6698" w:rsidR="005616C8" w:rsidRPr="000B2EEE" w:rsidRDefault="00000000">
      <w:pPr>
        <w:pStyle w:val="Tekstpodstawowy"/>
        <w:spacing w:line="252" w:lineRule="auto"/>
        <w:ind w:left="186" w:right="131" w:hanging="3"/>
        <w:jc w:val="both"/>
      </w:pPr>
      <w:r>
        <w:t>We believe that the evidence we have obtained is sufficient and appropriate to constitute the basis for our opinion.</w:t>
      </w:r>
    </w:p>
    <w:p w14:paraId="4785447F" w14:textId="77777777" w:rsidR="005616C8" w:rsidRPr="000B2EEE" w:rsidRDefault="005616C8">
      <w:pPr>
        <w:pStyle w:val="Tekstpodstawowy"/>
      </w:pPr>
    </w:p>
    <w:p w14:paraId="5EA18DBB" w14:textId="77777777" w:rsidR="005616C8" w:rsidRPr="000B2EEE" w:rsidRDefault="005616C8">
      <w:pPr>
        <w:pStyle w:val="Tekstpodstawowy"/>
        <w:spacing w:before="58"/>
      </w:pPr>
    </w:p>
    <w:p w14:paraId="76C737B7" w14:textId="77777777" w:rsidR="005616C8" w:rsidRPr="00F60E1E" w:rsidRDefault="00000000">
      <w:pPr>
        <w:pStyle w:val="Tekstpodstawowy"/>
        <w:ind w:left="185"/>
        <w:jc w:val="both"/>
        <w:rPr>
          <w:b/>
          <w:bCs/>
        </w:rPr>
      </w:pPr>
      <w:r w:rsidRPr="00F60E1E">
        <w:rPr>
          <w:b/>
          <w:bCs/>
        </w:rPr>
        <w:t>Key Audit Matters</w:t>
      </w:r>
    </w:p>
    <w:p w14:paraId="53B16030" w14:textId="139DB486" w:rsidR="005616C8" w:rsidRPr="000B2EEE" w:rsidRDefault="00000000">
      <w:pPr>
        <w:pStyle w:val="Tekstpodstawowy"/>
        <w:spacing w:before="143" w:line="252" w:lineRule="auto"/>
        <w:ind w:left="180" w:right="111" w:firstLine="4"/>
        <w:jc w:val="both"/>
      </w:pPr>
      <w:r>
        <w:t>Key audit matters are the matters which, in our professional judgment, were of the most significance in our audit of the financial statements for the current reporting period. They include the most significant assessed risks of material misstatement, including the assessed risks of material misstatement due to fraud. We have addressed these matters in the context of our audit of the financial statements overall and in forming our opinion, and we have summarized our response to these risks and, where we considered it appropriate, we have presented our key findings related to these risks. We do not express a separate opinion on these matters.</w:t>
      </w:r>
    </w:p>
    <w:p w14:paraId="56C40341" w14:textId="77777777" w:rsidR="005616C8" w:rsidRPr="000B2EEE" w:rsidRDefault="005616C8">
      <w:pPr>
        <w:pStyle w:val="Tekstpodstawowy"/>
        <w:spacing w:before="183"/>
      </w:pPr>
    </w:p>
    <w:tbl>
      <w:tblPr>
        <w:tblStyle w:val="TableNormal"/>
        <w:tblW w:w="0" w:type="auto"/>
        <w:tblInd w:w="19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067"/>
        <w:gridCol w:w="4152"/>
      </w:tblGrid>
      <w:tr w:rsidR="000B2EEE" w:rsidRPr="000B2EEE" w14:paraId="76B98CDE" w14:textId="77777777">
        <w:trPr>
          <w:trHeight w:val="405"/>
        </w:trPr>
        <w:tc>
          <w:tcPr>
            <w:tcW w:w="4067" w:type="dxa"/>
          </w:tcPr>
          <w:p w14:paraId="38BDAB15" w14:textId="77777777" w:rsidR="005616C8" w:rsidRPr="00F60E1E" w:rsidRDefault="00000000">
            <w:pPr>
              <w:pStyle w:val="TableParagraph"/>
              <w:spacing w:before="118"/>
              <w:ind w:left="952"/>
              <w:rPr>
                <w:b/>
                <w:bCs/>
                <w:sz w:val="18"/>
                <w:szCs w:val="18"/>
              </w:rPr>
            </w:pPr>
            <w:r w:rsidRPr="00F60E1E">
              <w:rPr>
                <w:b/>
                <w:bCs/>
                <w:sz w:val="18"/>
              </w:rPr>
              <w:t>Key Audit Matter</w:t>
            </w:r>
          </w:p>
        </w:tc>
        <w:tc>
          <w:tcPr>
            <w:tcW w:w="4152" w:type="dxa"/>
          </w:tcPr>
          <w:p w14:paraId="5F590FA1" w14:textId="77777777" w:rsidR="005616C8" w:rsidRPr="00B90CEF" w:rsidRDefault="00000000" w:rsidP="00B90CEF">
            <w:pPr>
              <w:pStyle w:val="TableParagraph"/>
              <w:spacing w:before="118"/>
              <w:ind w:left="197"/>
              <w:jc w:val="center"/>
              <w:rPr>
                <w:b/>
                <w:bCs/>
                <w:sz w:val="18"/>
                <w:szCs w:val="18"/>
              </w:rPr>
            </w:pPr>
            <w:r w:rsidRPr="00B90CEF">
              <w:rPr>
                <w:b/>
                <w:bCs/>
                <w:sz w:val="18"/>
              </w:rPr>
              <w:t>How our audit addressed this matter</w:t>
            </w:r>
          </w:p>
        </w:tc>
      </w:tr>
      <w:tr w:rsidR="000B2EEE" w:rsidRPr="000B2EEE" w14:paraId="029A8BE0" w14:textId="77777777">
        <w:trPr>
          <w:trHeight w:val="429"/>
        </w:trPr>
        <w:tc>
          <w:tcPr>
            <w:tcW w:w="8219" w:type="dxa"/>
            <w:gridSpan w:val="2"/>
          </w:tcPr>
          <w:p w14:paraId="475E2ABE" w14:textId="6A9017A4" w:rsidR="005616C8" w:rsidRPr="00F60E1E" w:rsidRDefault="00000000">
            <w:pPr>
              <w:pStyle w:val="TableParagraph"/>
              <w:spacing w:before="130"/>
              <w:ind w:left="47" w:right="17"/>
              <w:jc w:val="center"/>
              <w:rPr>
                <w:b/>
                <w:bCs/>
                <w:i/>
                <w:sz w:val="18"/>
                <w:szCs w:val="18"/>
              </w:rPr>
            </w:pPr>
            <w:r w:rsidRPr="00F60E1E">
              <w:rPr>
                <w:b/>
                <w:bCs/>
                <w:i/>
                <w:sz w:val="18"/>
              </w:rPr>
              <w:t xml:space="preserve">Recognition and measurement of investments in </w:t>
            </w:r>
            <w:proofErr w:type="spellStart"/>
            <w:r w:rsidRPr="00F60E1E">
              <w:rPr>
                <w:b/>
                <w:bCs/>
                <w:i/>
                <w:sz w:val="18"/>
              </w:rPr>
              <w:t>Novohale</w:t>
            </w:r>
            <w:proofErr w:type="spellEnd"/>
            <w:r w:rsidRPr="00F60E1E">
              <w:rPr>
                <w:b/>
                <w:bCs/>
                <w:i/>
                <w:sz w:val="18"/>
              </w:rPr>
              <w:t xml:space="preserve"> </w:t>
            </w:r>
            <w:r w:rsidR="00F60E1E" w:rsidRPr="00F60E1E">
              <w:rPr>
                <w:b/>
                <w:bCs/>
                <w:i/>
                <w:sz w:val="18"/>
              </w:rPr>
              <w:t>Therapeutics</w:t>
            </w:r>
          </w:p>
        </w:tc>
      </w:tr>
      <w:tr w:rsidR="000B2EEE" w:rsidRPr="000B2EEE" w14:paraId="574AA4C4" w14:textId="77777777">
        <w:trPr>
          <w:trHeight w:val="7307"/>
        </w:trPr>
        <w:tc>
          <w:tcPr>
            <w:tcW w:w="4067" w:type="dxa"/>
          </w:tcPr>
          <w:p w14:paraId="31FBF484" w14:textId="3690FEAF" w:rsidR="005616C8" w:rsidRPr="000B2EEE" w:rsidRDefault="00000000" w:rsidP="00236EE8">
            <w:pPr>
              <w:pStyle w:val="TableParagraph"/>
              <w:spacing w:before="106" w:line="252" w:lineRule="auto"/>
              <w:ind w:left="94" w:right="103" w:firstLine="8"/>
              <w:rPr>
                <w:sz w:val="18"/>
                <w:szCs w:val="18"/>
              </w:rPr>
            </w:pPr>
            <w:r>
              <w:rPr>
                <w:sz w:val="18"/>
              </w:rPr>
              <w:t xml:space="preserve">In May 2024, the Company and Tang Capital established Novohale </w:t>
            </w:r>
            <w:r w:rsidR="00F60E1E">
              <w:rPr>
                <w:sz w:val="18"/>
              </w:rPr>
              <w:t>Therapeutics</w:t>
            </w:r>
            <w:r>
              <w:rPr>
                <w:sz w:val="18"/>
              </w:rPr>
              <w:t>, a company with its registered seat in Delaware, USA (“Novohale”), whose purpose and scope of activity is to conduct Phase III clinical trials of Falkieri, a drug which the Company was previously developing independently.</w:t>
            </w:r>
          </w:p>
          <w:p w14:paraId="1C9A4625" w14:textId="0042DECE" w:rsidR="005616C8" w:rsidRPr="000B2EEE" w:rsidRDefault="00000000" w:rsidP="00236EE8">
            <w:pPr>
              <w:pStyle w:val="TableParagraph"/>
              <w:spacing w:before="110" w:line="252" w:lineRule="auto"/>
              <w:ind w:left="102" w:right="390" w:firstLine="1"/>
              <w:rPr>
                <w:sz w:val="18"/>
                <w:szCs w:val="18"/>
              </w:rPr>
            </w:pPr>
            <w:r>
              <w:rPr>
                <w:sz w:val="18"/>
              </w:rPr>
              <w:t>The initial share capital of Novohale was established at USD 30 million, of which the Company committed to contribute USD 20 million in cash, as well as its intellectual property rights to the Falkieri drug.</w:t>
            </w:r>
          </w:p>
          <w:p w14:paraId="3B7A3D8B" w14:textId="3034913C" w:rsidR="005616C8" w:rsidRPr="000B2EEE" w:rsidRDefault="00000000" w:rsidP="00236EE8">
            <w:pPr>
              <w:pStyle w:val="TableParagraph"/>
              <w:spacing w:before="109" w:line="252" w:lineRule="auto"/>
              <w:ind w:left="98" w:right="468" w:firstLine="4"/>
              <w:rPr>
                <w:sz w:val="18"/>
                <w:szCs w:val="18"/>
              </w:rPr>
            </w:pPr>
            <w:r>
              <w:rPr>
                <w:sz w:val="18"/>
              </w:rPr>
              <w:t>The Company’s Management Board assessed whether, in accordance with IFRS 10 “</w:t>
            </w:r>
            <w:r>
              <w:rPr>
                <w:i/>
                <w:iCs/>
                <w:sz w:val="18"/>
              </w:rPr>
              <w:t>Consolidated Financial Statements</w:t>
            </w:r>
            <w:r>
              <w:rPr>
                <w:sz w:val="18"/>
              </w:rPr>
              <w:t>” the Company has control over Novohale and concluded that the Company does not have control over Novohale but exercises significant influence over it. Therefore, Novohale has been classified as an associate and accounted for using the equity method.</w:t>
            </w:r>
          </w:p>
          <w:p w14:paraId="69C85FF3" w14:textId="2ECB6463" w:rsidR="005616C8" w:rsidRPr="000B2EEE" w:rsidRDefault="00000000" w:rsidP="00236EE8">
            <w:pPr>
              <w:pStyle w:val="TableParagraph"/>
              <w:spacing w:before="110" w:line="256" w:lineRule="auto"/>
              <w:ind w:left="98" w:right="89" w:firstLine="5"/>
              <w:rPr>
                <w:sz w:val="18"/>
                <w:szCs w:val="18"/>
              </w:rPr>
            </w:pPr>
            <w:r>
              <w:rPr>
                <w:sz w:val="18"/>
              </w:rPr>
              <w:t xml:space="preserve">The carrying amount of the investment in Novohale recognized in the statement of financial position as of December 31, 2024, amounts to PLN 26,949 thousand, including PLN 5,545 thousand representing the Company’s share of </w:t>
            </w:r>
            <w:proofErr w:type="spellStart"/>
            <w:r>
              <w:rPr>
                <w:sz w:val="18"/>
              </w:rPr>
              <w:t>Novohale’s</w:t>
            </w:r>
            <w:proofErr w:type="spellEnd"/>
            <w:r>
              <w:rPr>
                <w:sz w:val="18"/>
              </w:rPr>
              <w:t xml:space="preserve"> loss for 2024 and PLN 15,521 thousand representing the recognition of Tang Capital’s yield on the contribution by the Company of intellectual property rights to Falkieri to Novohale.</w:t>
            </w:r>
          </w:p>
        </w:tc>
        <w:tc>
          <w:tcPr>
            <w:tcW w:w="4152" w:type="dxa"/>
          </w:tcPr>
          <w:p w14:paraId="4715D2F4" w14:textId="2A5E6A9B" w:rsidR="005616C8" w:rsidRPr="000B2EEE" w:rsidRDefault="00000000" w:rsidP="00F60E1E">
            <w:pPr>
              <w:pStyle w:val="TableParagraph"/>
              <w:spacing w:before="106"/>
              <w:ind w:left="99" w:right="576" w:firstLine="4"/>
              <w:rPr>
                <w:sz w:val="18"/>
                <w:szCs w:val="18"/>
              </w:rPr>
            </w:pPr>
            <w:r>
              <w:rPr>
                <w:sz w:val="18"/>
              </w:rPr>
              <w:t xml:space="preserve">Our audit procedures in relation to the valuation of the investment in Novohale </w:t>
            </w:r>
            <w:r w:rsidR="00F60E1E">
              <w:rPr>
                <w:sz w:val="18"/>
              </w:rPr>
              <w:t>Therapeutics</w:t>
            </w:r>
            <w:r>
              <w:rPr>
                <w:sz w:val="18"/>
              </w:rPr>
              <w:t xml:space="preserve"> included, inter alia:</w:t>
            </w:r>
          </w:p>
          <w:p w14:paraId="6EC66427" w14:textId="09D8B2A2" w:rsidR="005616C8" w:rsidRPr="000B2EEE" w:rsidRDefault="00000000" w:rsidP="00F60E1E">
            <w:pPr>
              <w:pStyle w:val="TableParagraph"/>
              <w:numPr>
                <w:ilvl w:val="0"/>
                <w:numId w:val="6"/>
              </w:numPr>
              <w:tabs>
                <w:tab w:val="left" w:pos="429"/>
              </w:tabs>
              <w:spacing w:before="135"/>
              <w:ind w:right="509" w:hanging="336"/>
              <w:rPr>
                <w:sz w:val="18"/>
                <w:szCs w:val="18"/>
              </w:rPr>
            </w:pPr>
            <w:r>
              <w:rPr>
                <w:sz w:val="18"/>
              </w:rPr>
              <w:t>understanding the process performed by the Company’s Management Board to assess the criteria for exercising control or significant influence over Novohale,</w:t>
            </w:r>
          </w:p>
          <w:p w14:paraId="463DDCA4" w14:textId="132FA235" w:rsidR="005616C8" w:rsidRPr="000B2EEE" w:rsidRDefault="00000000" w:rsidP="00F60E1E">
            <w:pPr>
              <w:pStyle w:val="TableParagraph"/>
              <w:numPr>
                <w:ilvl w:val="0"/>
                <w:numId w:val="6"/>
              </w:numPr>
              <w:tabs>
                <w:tab w:val="left" w:pos="427"/>
                <w:tab w:val="left" w:pos="432"/>
              </w:tabs>
              <w:spacing w:before="135"/>
              <w:ind w:left="432" w:right="428" w:hanging="340"/>
              <w:rPr>
                <w:sz w:val="18"/>
                <w:szCs w:val="18"/>
              </w:rPr>
            </w:pPr>
            <w:r>
              <w:rPr>
                <w:sz w:val="18"/>
              </w:rPr>
              <w:t>analyzing thoroughly the agreements signed between the Company and Tang Capital regarding operation arrangements for the Novohale,</w:t>
            </w:r>
          </w:p>
          <w:p w14:paraId="1E711F20" w14:textId="154129A1" w:rsidR="005616C8" w:rsidRPr="000B2EEE" w:rsidRDefault="00000000" w:rsidP="00F60E1E">
            <w:pPr>
              <w:pStyle w:val="TableParagraph"/>
              <w:numPr>
                <w:ilvl w:val="0"/>
                <w:numId w:val="6"/>
              </w:numPr>
              <w:tabs>
                <w:tab w:val="left" w:pos="426"/>
                <w:tab w:val="left" w:pos="429"/>
              </w:tabs>
              <w:spacing w:before="135"/>
              <w:ind w:right="365"/>
              <w:rPr>
                <w:sz w:val="18"/>
                <w:szCs w:val="18"/>
              </w:rPr>
            </w:pPr>
            <w:r>
              <w:rPr>
                <w:sz w:val="18"/>
              </w:rPr>
              <w:t>evaluating the validity of key assumptions and estimates made by the Company’s Management Board with regard to assessing whether the Company controls or exerts significant influence over Novohale in light of the contractual provisions, including assessing the terms of the call option set out in the agreement,</w:t>
            </w:r>
          </w:p>
          <w:p w14:paraId="043DDF93" w14:textId="0B941343" w:rsidR="005616C8" w:rsidRPr="000B2EEE" w:rsidRDefault="00000000" w:rsidP="00F60E1E">
            <w:pPr>
              <w:pStyle w:val="TableParagraph"/>
              <w:numPr>
                <w:ilvl w:val="0"/>
                <w:numId w:val="6"/>
              </w:numPr>
              <w:tabs>
                <w:tab w:val="left" w:pos="426"/>
                <w:tab w:val="left" w:pos="433"/>
              </w:tabs>
              <w:spacing w:before="123"/>
              <w:ind w:left="433" w:right="79" w:hanging="340"/>
              <w:rPr>
                <w:sz w:val="18"/>
                <w:szCs w:val="18"/>
              </w:rPr>
            </w:pPr>
            <w:r>
              <w:rPr>
                <w:sz w:val="18"/>
              </w:rPr>
              <w:t xml:space="preserve">analyzing the methodology and assessing the correctness of transaction settlements and the recognition of investments in Novohale using the equity method in light of IAS 28 </w:t>
            </w:r>
            <w:r>
              <w:rPr>
                <w:i/>
                <w:iCs/>
                <w:sz w:val="18"/>
              </w:rPr>
              <w:t>“Investments in Associates and Joint Ventures</w:t>
            </w:r>
            <w:r>
              <w:rPr>
                <w:sz w:val="18"/>
              </w:rPr>
              <w:t>”,</w:t>
            </w:r>
          </w:p>
          <w:p w14:paraId="01B35182" w14:textId="256E9523" w:rsidR="005616C8" w:rsidRPr="000B2EEE" w:rsidRDefault="00000000" w:rsidP="00F60E1E">
            <w:pPr>
              <w:pStyle w:val="TableParagraph"/>
              <w:numPr>
                <w:ilvl w:val="0"/>
                <w:numId w:val="6"/>
              </w:numPr>
              <w:tabs>
                <w:tab w:val="left" w:pos="432"/>
              </w:tabs>
              <w:spacing w:before="135"/>
              <w:ind w:left="432" w:right="303" w:hanging="340"/>
              <w:jc w:val="both"/>
              <w:rPr>
                <w:sz w:val="18"/>
                <w:szCs w:val="18"/>
              </w:rPr>
            </w:pPr>
            <w:r>
              <w:rPr>
                <w:sz w:val="18"/>
              </w:rPr>
              <w:t>obtaining a written representation from the Management Board regarding the absence of ability and intent to exercise control over Novohale, as well as the valuation of the intellectual property rights to Falkieri contributed to Novohale.</w:t>
            </w:r>
          </w:p>
        </w:tc>
      </w:tr>
    </w:tbl>
    <w:p w14:paraId="659FEA6A" w14:textId="77777777" w:rsidR="005616C8" w:rsidRPr="000B2EEE" w:rsidRDefault="005616C8">
      <w:pPr>
        <w:spacing w:line="252" w:lineRule="auto"/>
        <w:jc w:val="both"/>
        <w:rPr>
          <w:sz w:val="18"/>
          <w:szCs w:val="18"/>
        </w:rPr>
        <w:sectPr w:rsidR="005616C8" w:rsidRPr="000B2EEE">
          <w:headerReference w:type="default" r:id="rId10"/>
          <w:footerReference w:type="default" r:id="rId11"/>
          <w:pgSz w:w="11900" w:h="16840"/>
          <w:pgMar w:top="2400" w:right="1680" w:bottom="1760" w:left="1680" w:header="1286" w:footer="1580" w:gutter="0"/>
          <w:pgNumType w:start="2"/>
          <w:cols w:space="708"/>
        </w:sectPr>
      </w:pPr>
    </w:p>
    <w:p w14:paraId="42F0D4FA" w14:textId="6FF9EC5D" w:rsidR="005616C8" w:rsidRPr="000B2EEE" w:rsidRDefault="00F60E1E">
      <w:pPr>
        <w:pStyle w:val="Tekstpodstawowy"/>
        <w:spacing w:before="10" w:after="1"/>
      </w:pPr>
      <w:r w:rsidRPr="00F60E1E">
        <w:rPr>
          <w:noProof/>
          <w:sz w:val="17"/>
        </w:rPr>
        <w:lastRenderedPageBreak/>
        <w:drawing>
          <wp:anchor distT="0" distB="0" distL="114300" distR="114300" simplePos="0" relativeHeight="251659264" behindDoc="0" locked="0" layoutInCell="1" allowOverlap="1" wp14:anchorId="371571A7" wp14:editId="1BAC303D">
            <wp:simplePos x="0" y="0"/>
            <wp:positionH relativeFrom="column">
              <wp:posOffset>-331</wp:posOffset>
            </wp:positionH>
            <wp:positionV relativeFrom="paragraph">
              <wp:posOffset>-1058048</wp:posOffset>
            </wp:positionV>
            <wp:extent cx="965200" cy="1047750"/>
            <wp:effectExtent l="0" t="0" r="6350" b="0"/>
            <wp:wrapNone/>
            <wp:docPr id="1784909961" name="Obraz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37178" name="Obraz 1" descr="Obraz zawierający tekst, Czcionka, logo, Grafika&#10;&#10;Opis wygenerowany automatycznie"/>
                    <pic:cNvPicPr/>
                  </pic:nvPicPr>
                  <pic:blipFill>
                    <a:blip r:embed="rId7">
                      <a:extLst>
                        <a:ext uri="{28A0092B-C50C-407E-A947-70E740481C1C}">
                          <a14:useLocalDpi xmlns:a14="http://schemas.microsoft.com/office/drawing/2010/main" val="0"/>
                        </a:ext>
                      </a:extLst>
                    </a:blip>
                    <a:stretch>
                      <a:fillRect/>
                    </a:stretch>
                  </pic:blipFill>
                  <pic:spPr>
                    <a:xfrm>
                      <a:off x="0" y="0"/>
                      <a:ext cx="965200" cy="1047750"/>
                    </a:xfrm>
                    <a:prstGeom prst="rect">
                      <a:avLst/>
                    </a:prstGeom>
                  </pic:spPr>
                </pic:pic>
              </a:graphicData>
            </a:graphic>
          </wp:anchor>
        </w:drawing>
      </w:r>
    </w:p>
    <w:tbl>
      <w:tblPr>
        <w:tblStyle w:val="TableNormal"/>
        <w:tblW w:w="0" w:type="auto"/>
        <w:tblInd w:w="1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067"/>
        <w:gridCol w:w="4176"/>
      </w:tblGrid>
      <w:tr w:rsidR="000B2EEE" w:rsidRPr="000B2EEE" w14:paraId="2EA45881" w14:textId="77777777">
        <w:trPr>
          <w:trHeight w:val="4348"/>
        </w:trPr>
        <w:tc>
          <w:tcPr>
            <w:tcW w:w="4067" w:type="dxa"/>
            <w:tcBorders>
              <w:left w:val="single" w:sz="12" w:space="0" w:color="000000"/>
              <w:right w:val="single" w:sz="12" w:space="0" w:color="000000"/>
            </w:tcBorders>
          </w:tcPr>
          <w:p w14:paraId="2C2746F3" w14:textId="3CCF18DF" w:rsidR="005616C8" w:rsidRPr="000B2EEE" w:rsidRDefault="005616C8">
            <w:pPr>
              <w:pStyle w:val="TableParagraph"/>
              <w:spacing w:before="39"/>
              <w:ind w:left="0"/>
              <w:rPr>
                <w:sz w:val="18"/>
                <w:szCs w:val="18"/>
              </w:rPr>
            </w:pPr>
          </w:p>
          <w:p w14:paraId="79D9A0BB" w14:textId="77777777" w:rsidR="005616C8" w:rsidRPr="000B2EEE" w:rsidRDefault="00000000">
            <w:pPr>
              <w:pStyle w:val="TableParagraph"/>
              <w:spacing w:before="0" w:line="252" w:lineRule="auto"/>
              <w:ind w:left="126" w:right="633" w:firstLine="3"/>
              <w:rPr>
                <w:sz w:val="18"/>
                <w:szCs w:val="18"/>
              </w:rPr>
            </w:pPr>
            <w:r>
              <w:rPr>
                <w:sz w:val="18"/>
              </w:rPr>
              <w:t>which are recognized in the statement of comprehensive income for the year ended 2024.</w:t>
            </w:r>
          </w:p>
          <w:p w14:paraId="042C36E4" w14:textId="4351E369" w:rsidR="005616C8" w:rsidRPr="000B2EEE" w:rsidRDefault="00000000" w:rsidP="00236EE8">
            <w:pPr>
              <w:pStyle w:val="TableParagraph"/>
              <w:spacing w:before="110"/>
              <w:ind w:left="129" w:right="241"/>
              <w:rPr>
                <w:sz w:val="18"/>
                <w:szCs w:val="18"/>
              </w:rPr>
            </w:pPr>
            <w:r>
              <w:rPr>
                <w:sz w:val="18"/>
              </w:rPr>
              <w:t>Given the significance of estimates and judgments in assessing whether the Company controls or exercises significant influence over Novohale, as well as the significance of the amount of the investment's valuation as at the balance sheet date, we considered the valuation of the investment in Novohale to be a key audit matter.</w:t>
            </w:r>
          </w:p>
          <w:p w14:paraId="2F42715E" w14:textId="77777777" w:rsidR="005616C8" w:rsidRPr="000B2EEE" w:rsidRDefault="00000000">
            <w:pPr>
              <w:pStyle w:val="TableParagraph"/>
              <w:spacing w:before="119" w:line="252" w:lineRule="auto"/>
              <w:ind w:left="124" w:right="20" w:firstLine="3"/>
              <w:rPr>
                <w:sz w:val="18"/>
                <w:szCs w:val="18"/>
              </w:rPr>
            </w:pPr>
            <w:r>
              <w:rPr>
                <w:sz w:val="18"/>
              </w:rPr>
              <w:t xml:space="preserve">In Note 14.2. “Investments in associates” the Company disclosed information regarding its assessment of whether it exercises significant influence over Novohale and the method used to measure the investment, and presented </w:t>
            </w:r>
            <w:proofErr w:type="spellStart"/>
            <w:r>
              <w:rPr>
                <w:sz w:val="18"/>
              </w:rPr>
              <w:t>Novohale’s</w:t>
            </w:r>
            <w:proofErr w:type="spellEnd"/>
            <w:r>
              <w:rPr>
                <w:sz w:val="18"/>
              </w:rPr>
              <w:t xml:space="preserve"> financial data as at December 31, 2024.</w:t>
            </w:r>
          </w:p>
        </w:tc>
        <w:tc>
          <w:tcPr>
            <w:tcW w:w="4176" w:type="dxa"/>
            <w:tcBorders>
              <w:left w:val="single" w:sz="12" w:space="0" w:color="000000"/>
              <w:right w:val="single" w:sz="12" w:space="0" w:color="000000"/>
            </w:tcBorders>
          </w:tcPr>
          <w:p w14:paraId="2303E0E4" w14:textId="77777777" w:rsidR="005616C8" w:rsidRPr="000B2EEE" w:rsidRDefault="005616C8">
            <w:pPr>
              <w:pStyle w:val="TableParagraph"/>
              <w:spacing w:before="39"/>
              <w:ind w:left="0"/>
              <w:rPr>
                <w:sz w:val="18"/>
                <w:szCs w:val="18"/>
              </w:rPr>
            </w:pPr>
          </w:p>
          <w:p w14:paraId="6E5ADB84" w14:textId="66AB44FB" w:rsidR="005616C8" w:rsidRPr="000B2EEE" w:rsidRDefault="00000000" w:rsidP="00236EE8">
            <w:pPr>
              <w:pStyle w:val="TableParagraph"/>
              <w:spacing w:before="0"/>
              <w:ind w:left="128"/>
              <w:rPr>
                <w:sz w:val="18"/>
                <w:szCs w:val="18"/>
              </w:rPr>
            </w:pPr>
            <w:r>
              <w:rPr>
                <w:sz w:val="18"/>
              </w:rPr>
              <w:t>In addition, we assessed the adequacy and completeness of disclosures in the financial statements regarding the valuation of the investment in the associate, as well as the judgment of the Company’s Management Board regarding the lack of exercising control but exerting significant influence over Novohale.</w:t>
            </w:r>
          </w:p>
        </w:tc>
      </w:tr>
      <w:tr w:rsidR="000B2EEE" w:rsidRPr="000B2EEE" w14:paraId="5903D52E" w14:textId="77777777">
        <w:trPr>
          <w:trHeight w:val="424"/>
        </w:trPr>
        <w:tc>
          <w:tcPr>
            <w:tcW w:w="8243" w:type="dxa"/>
            <w:gridSpan w:val="2"/>
            <w:tcBorders>
              <w:left w:val="single" w:sz="12" w:space="0" w:color="000000"/>
              <w:bottom w:val="single" w:sz="12" w:space="0" w:color="000000"/>
              <w:right w:val="single" w:sz="12" w:space="0" w:color="000000"/>
            </w:tcBorders>
          </w:tcPr>
          <w:p w14:paraId="71E428F3" w14:textId="77777777" w:rsidR="005616C8" w:rsidRPr="00F60E1E" w:rsidRDefault="00000000" w:rsidP="00F60E1E">
            <w:pPr>
              <w:pStyle w:val="TableParagraph"/>
              <w:spacing w:before="138"/>
              <w:ind w:left="485"/>
              <w:jc w:val="center"/>
              <w:rPr>
                <w:b/>
                <w:bCs/>
                <w:i/>
                <w:sz w:val="18"/>
                <w:szCs w:val="18"/>
              </w:rPr>
            </w:pPr>
            <w:r w:rsidRPr="00F60E1E">
              <w:rPr>
                <w:b/>
                <w:bCs/>
                <w:i/>
                <w:sz w:val="18"/>
              </w:rPr>
              <w:t>Analysis of the recoverability of the deferred tax asset</w:t>
            </w:r>
          </w:p>
        </w:tc>
      </w:tr>
      <w:tr w:rsidR="005616C8" w:rsidRPr="000B2EEE" w14:paraId="7FFE04B2" w14:textId="77777777">
        <w:trPr>
          <w:trHeight w:val="7194"/>
        </w:trPr>
        <w:tc>
          <w:tcPr>
            <w:tcW w:w="4067" w:type="dxa"/>
            <w:tcBorders>
              <w:top w:val="single" w:sz="12" w:space="0" w:color="000000"/>
              <w:left w:val="single" w:sz="12" w:space="0" w:color="000000"/>
              <w:right w:val="single" w:sz="12" w:space="0" w:color="000000"/>
            </w:tcBorders>
          </w:tcPr>
          <w:p w14:paraId="5853E7D5" w14:textId="05FDCE01" w:rsidR="005616C8" w:rsidRPr="000B2EEE" w:rsidRDefault="00000000" w:rsidP="00236EE8">
            <w:pPr>
              <w:pStyle w:val="TableParagraph"/>
              <w:spacing w:before="130" w:line="252" w:lineRule="auto"/>
              <w:ind w:left="124" w:right="708" w:firstLine="3"/>
              <w:rPr>
                <w:sz w:val="18"/>
                <w:szCs w:val="18"/>
              </w:rPr>
            </w:pPr>
            <w:r>
              <w:rPr>
                <w:sz w:val="18"/>
              </w:rPr>
              <w:t>In the statement of financial position as of December 31, 2024, the Company recognized a deferred tax asset of PLN 21.5 million and a deferred tax liability of PLN 2.8 million. According to the information disclosed in Note 6.2 to the financial statements, the deferred tax asset mainly comprises tax losses from prior years that are available for offset against future taxable profits, totaling PLN 237.8 million.</w:t>
            </w:r>
          </w:p>
          <w:p w14:paraId="4416451C" w14:textId="1F428DB3" w:rsidR="005616C8" w:rsidRPr="000B2EEE" w:rsidRDefault="00000000" w:rsidP="00236EE8">
            <w:pPr>
              <w:pStyle w:val="TableParagraph"/>
              <w:spacing w:before="119" w:line="252" w:lineRule="auto"/>
              <w:ind w:left="119" w:right="229" w:firstLine="9"/>
              <w:rPr>
                <w:sz w:val="18"/>
                <w:szCs w:val="18"/>
              </w:rPr>
            </w:pPr>
            <w:r>
              <w:rPr>
                <w:sz w:val="18"/>
              </w:rPr>
              <w:t>Based on prepared tax projections, the Company’s Management Board recognized in its statement of financial position as of December 31, 2024, a total write-down of the deferred tax asset amounting to PLN 21.4 million (compared to PLN 28.2 million as of December 31, 2023), with part of the prior-year tax losses expiring in 2024, and the corresponding allowance being utilized for this reason.</w:t>
            </w:r>
          </w:p>
          <w:p w14:paraId="25662614" w14:textId="77777777" w:rsidR="005616C8" w:rsidRPr="000B2EEE" w:rsidRDefault="00000000">
            <w:pPr>
              <w:pStyle w:val="TableParagraph"/>
              <w:spacing w:before="110" w:line="252" w:lineRule="auto"/>
              <w:ind w:left="124" w:firstLine="3"/>
              <w:rPr>
                <w:sz w:val="18"/>
                <w:szCs w:val="18"/>
              </w:rPr>
            </w:pPr>
            <w:r>
              <w:rPr>
                <w:sz w:val="18"/>
              </w:rPr>
              <w:t>As part of the analysis of the recoverability of the deferred tax asset, the Company’s Management Board adopted a set of assumptions regarding the Company’s future taxable results.</w:t>
            </w:r>
          </w:p>
        </w:tc>
        <w:tc>
          <w:tcPr>
            <w:tcW w:w="4176" w:type="dxa"/>
            <w:tcBorders>
              <w:top w:val="single" w:sz="12" w:space="0" w:color="000000"/>
              <w:left w:val="single" w:sz="12" w:space="0" w:color="000000"/>
              <w:right w:val="single" w:sz="12" w:space="0" w:color="000000"/>
            </w:tcBorders>
          </w:tcPr>
          <w:p w14:paraId="5ACF9E1D" w14:textId="5742C14D" w:rsidR="005616C8" w:rsidRPr="000B2EEE" w:rsidRDefault="00000000" w:rsidP="00F60E1E">
            <w:pPr>
              <w:pStyle w:val="TableParagraph"/>
              <w:spacing w:before="130"/>
              <w:ind w:left="124" w:right="664" w:firstLine="4"/>
              <w:rPr>
                <w:sz w:val="18"/>
                <w:szCs w:val="18"/>
              </w:rPr>
            </w:pPr>
            <w:r>
              <w:rPr>
                <w:sz w:val="18"/>
              </w:rPr>
              <w:t>Our audit procedures with respect to the key audit matter in question included, inter alia:</w:t>
            </w:r>
          </w:p>
          <w:p w14:paraId="74610D31" w14:textId="7A0A7CDE" w:rsidR="005616C8" w:rsidRPr="000B2EEE" w:rsidRDefault="00000000" w:rsidP="00F60E1E">
            <w:pPr>
              <w:pStyle w:val="TableParagraph"/>
              <w:numPr>
                <w:ilvl w:val="0"/>
                <w:numId w:val="5"/>
              </w:numPr>
              <w:tabs>
                <w:tab w:val="left" w:pos="450"/>
                <w:tab w:val="left" w:pos="453"/>
              </w:tabs>
              <w:spacing w:before="135"/>
              <w:ind w:right="247" w:hanging="334"/>
              <w:rPr>
                <w:sz w:val="18"/>
                <w:szCs w:val="18"/>
              </w:rPr>
            </w:pPr>
            <w:r>
              <w:rPr>
                <w:sz w:val="18"/>
              </w:rPr>
              <w:t>understanding the process of recognizing the deferred tax asset and liability, including the identification of temporary differences forming the basis for recognition;</w:t>
            </w:r>
          </w:p>
          <w:p w14:paraId="6DBC203A" w14:textId="25BCCA25" w:rsidR="005616C8" w:rsidRPr="000B2EEE" w:rsidRDefault="00000000" w:rsidP="00F60E1E">
            <w:pPr>
              <w:pStyle w:val="TableParagraph"/>
              <w:numPr>
                <w:ilvl w:val="0"/>
                <w:numId w:val="5"/>
              </w:numPr>
              <w:tabs>
                <w:tab w:val="left" w:pos="450"/>
                <w:tab w:val="left" w:pos="457"/>
              </w:tabs>
              <w:spacing w:before="123"/>
              <w:ind w:left="457" w:right="394" w:hanging="341"/>
              <w:rPr>
                <w:sz w:val="18"/>
                <w:szCs w:val="18"/>
              </w:rPr>
            </w:pPr>
            <w:r>
              <w:rPr>
                <w:sz w:val="18"/>
              </w:rPr>
              <w:t>analyzing the completeness and accuracy of the recognition of temporary differences in the deferred tax calculation, as well as the correctness of the resulting deferred tax asset and liability recorded by the Company in relation to these differences, including the write-down recognized as of December 31, 2024;</w:t>
            </w:r>
          </w:p>
          <w:p w14:paraId="12B128ED" w14:textId="2FD4429F" w:rsidR="005616C8" w:rsidRPr="000B2EEE" w:rsidRDefault="00000000" w:rsidP="00F60E1E">
            <w:pPr>
              <w:pStyle w:val="TableParagraph"/>
              <w:numPr>
                <w:ilvl w:val="0"/>
                <w:numId w:val="5"/>
              </w:numPr>
              <w:tabs>
                <w:tab w:val="left" w:pos="450"/>
                <w:tab w:val="left" w:pos="457"/>
              </w:tabs>
              <w:spacing w:before="145"/>
              <w:ind w:left="457" w:right="358" w:hanging="340"/>
              <w:rPr>
                <w:sz w:val="18"/>
                <w:szCs w:val="18"/>
              </w:rPr>
            </w:pPr>
            <w:r>
              <w:rPr>
                <w:sz w:val="18"/>
              </w:rPr>
              <w:t>analyzing the expenditures incurred on research and development activities to assess the correctness of the related tax credit and its impact on the calculation and recognition of deferred tax assets and liabilities;</w:t>
            </w:r>
          </w:p>
          <w:p w14:paraId="5FB00D60" w14:textId="4C120A2F" w:rsidR="005616C8" w:rsidRPr="000B2EEE" w:rsidRDefault="00000000" w:rsidP="00F60E1E">
            <w:pPr>
              <w:pStyle w:val="TableParagraph"/>
              <w:numPr>
                <w:ilvl w:val="0"/>
                <w:numId w:val="5"/>
              </w:numPr>
              <w:tabs>
                <w:tab w:val="left" w:pos="450"/>
              </w:tabs>
              <w:spacing w:before="106"/>
              <w:ind w:hanging="333"/>
              <w:rPr>
                <w:sz w:val="18"/>
                <w:szCs w:val="18"/>
              </w:rPr>
            </w:pPr>
            <w:r>
              <w:rPr>
                <w:sz w:val="18"/>
              </w:rPr>
              <w:t>analyzing the composition of tax losses on which the Company recognized the deferred tax asset;</w:t>
            </w:r>
          </w:p>
        </w:tc>
      </w:tr>
    </w:tbl>
    <w:p w14:paraId="4F072549" w14:textId="77777777" w:rsidR="005616C8" w:rsidRPr="000B2EEE" w:rsidRDefault="005616C8">
      <w:pPr>
        <w:spacing w:line="252" w:lineRule="auto"/>
        <w:rPr>
          <w:sz w:val="18"/>
          <w:szCs w:val="18"/>
        </w:rPr>
        <w:sectPr w:rsidR="005616C8" w:rsidRPr="000B2EEE">
          <w:pgSz w:w="11900" w:h="16840"/>
          <w:pgMar w:top="2400" w:right="1680" w:bottom="1760" w:left="1680" w:header="1286" w:footer="1580" w:gutter="0"/>
          <w:cols w:space="708"/>
        </w:sectPr>
      </w:pPr>
    </w:p>
    <w:p w14:paraId="6B936877" w14:textId="77777777" w:rsidR="005616C8" w:rsidRDefault="005616C8">
      <w:pPr>
        <w:pStyle w:val="Tekstpodstawowy"/>
        <w:spacing w:before="10"/>
        <w:rPr>
          <w:b/>
        </w:rPr>
      </w:pPr>
    </w:p>
    <w:p w14:paraId="5E057652" w14:textId="77777777" w:rsidR="00F60E1E" w:rsidRPr="000B2EEE" w:rsidRDefault="00F60E1E">
      <w:pPr>
        <w:pStyle w:val="Tekstpodstawowy"/>
        <w:spacing w:before="10"/>
        <w:rPr>
          <w:b/>
        </w:rPr>
      </w:pPr>
    </w:p>
    <w:tbl>
      <w:tblPr>
        <w:tblStyle w:val="TableNormal"/>
        <w:tblW w:w="0" w:type="auto"/>
        <w:tblInd w:w="19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067"/>
        <w:gridCol w:w="4152"/>
      </w:tblGrid>
      <w:tr w:rsidR="000B2EEE" w:rsidRPr="000B2EEE" w14:paraId="2670A625" w14:textId="77777777">
        <w:trPr>
          <w:trHeight w:val="7948"/>
        </w:trPr>
        <w:tc>
          <w:tcPr>
            <w:tcW w:w="4067" w:type="dxa"/>
          </w:tcPr>
          <w:p w14:paraId="111B9FAF" w14:textId="36FE866F" w:rsidR="005616C8" w:rsidRPr="000B2EEE" w:rsidRDefault="00000000">
            <w:pPr>
              <w:pStyle w:val="TableParagraph"/>
              <w:spacing w:before="106" w:line="252" w:lineRule="auto"/>
              <w:ind w:left="100" w:hanging="1"/>
              <w:rPr>
                <w:sz w:val="18"/>
                <w:szCs w:val="18"/>
              </w:rPr>
            </w:pPr>
            <w:r>
              <w:rPr>
                <w:sz w:val="18"/>
              </w:rPr>
              <w:t>as well as with respect to the reversal pattern of other temporary differences recognized as of the reporting date. These estimates and judgments relate to future events and, as such, are subject to significant risks of change due to dynamic market conditions. Changes in the assumptions adopted by the Company’s Management Board may result in the recognition of significantly different values of the tax asset.</w:t>
            </w:r>
          </w:p>
          <w:p w14:paraId="4BBD0C97" w14:textId="5D781389" w:rsidR="005616C8" w:rsidRPr="000B2EEE" w:rsidRDefault="00000000" w:rsidP="00236EE8">
            <w:pPr>
              <w:pStyle w:val="TableParagraph"/>
              <w:spacing w:before="111" w:line="252" w:lineRule="auto"/>
              <w:ind w:left="99" w:right="331" w:firstLine="7"/>
              <w:rPr>
                <w:sz w:val="18"/>
                <w:szCs w:val="18"/>
              </w:rPr>
            </w:pPr>
            <w:r>
              <w:rPr>
                <w:sz w:val="18"/>
              </w:rPr>
              <w:t>The analysis of the recoverability of the deferred tax asset is a key audit matter due to the significant judgment of the Company’s Management Board involved in determining the tax values of individual asset and liability items, as well as assessing the likelihood of future taxable profits that will enable the Company to utilize the deferred tax asset to reduce future taxable income by reference to prior years’ research and development expenditure and tax losses incurred.</w:t>
            </w:r>
          </w:p>
          <w:p w14:paraId="3AEF5FA0" w14:textId="1AE07BC8" w:rsidR="005616C8" w:rsidRPr="000B2EEE" w:rsidRDefault="00000000" w:rsidP="00236EE8">
            <w:pPr>
              <w:pStyle w:val="TableParagraph"/>
              <w:spacing w:before="110" w:line="252" w:lineRule="auto"/>
              <w:ind w:left="100" w:right="183" w:firstLine="9"/>
              <w:rPr>
                <w:sz w:val="18"/>
                <w:szCs w:val="18"/>
              </w:rPr>
            </w:pPr>
            <w:r>
              <w:rPr>
                <w:sz w:val="18"/>
              </w:rPr>
              <w:t>The Company has disclosed information regarding the deferred tax asset, including significant estimates and assumptions about its recoverability, in Notes 6.2 and 37 to the financial statements, while the accounting policy applied for the recognition and measurement of deferred tax is described in Note 35.22.2 to the financial statements.</w:t>
            </w:r>
          </w:p>
        </w:tc>
        <w:tc>
          <w:tcPr>
            <w:tcW w:w="4152" w:type="dxa"/>
          </w:tcPr>
          <w:p w14:paraId="4FC80A17" w14:textId="605D4AE0" w:rsidR="005616C8" w:rsidRPr="000B2EEE" w:rsidRDefault="00000000" w:rsidP="00F60E1E">
            <w:pPr>
              <w:pStyle w:val="TableParagraph"/>
              <w:numPr>
                <w:ilvl w:val="0"/>
                <w:numId w:val="4"/>
              </w:numPr>
              <w:tabs>
                <w:tab w:val="left" w:pos="427"/>
                <w:tab w:val="left" w:pos="429"/>
              </w:tabs>
              <w:spacing w:before="131"/>
              <w:ind w:right="451" w:hanging="337"/>
              <w:rPr>
                <w:sz w:val="18"/>
                <w:szCs w:val="18"/>
              </w:rPr>
            </w:pPr>
            <w:r>
              <w:rPr>
                <w:sz w:val="18"/>
              </w:rPr>
              <w:t>verifying, against prior years’ tax returns, the amounts of tax losses utilized in previous reporting periods and those remaining to be offset in future periods;</w:t>
            </w:r>
          </w:p>
          <w:p w14:paraId="262F7507" w14:textId="07C60E73" w:rsidR="005616C8" w:rsidRPr="000B2EEE" w:rsidRDefault="00000000" w:rsidP="00F60E1E">
            <w:pPr>
              <w:pStyle w:val="TableParagraph"/>
              <w:numPr>
                <w:ilvl w:val="0"/>
                <w:numId w:val="4"/>
              </w:numPr>
              <w:tabs>
                <w:tab w:val="left" w:pos="426"/>
              </w:tabs>
              <w:spacing w:before="135"/>
              <w:ind w:left="426" w:right="730"/>
              <w:rPr>
                <w:sz w:val="18"/>
                <w:szCs w:val="18"/>
              </w:rPr>
            </w:pPr>
            <w:r>
              <w:rPr>
                <w:sz w:val="18"/>
              </w:rPr>
              <w:t>assessing the reasonableness of the reversal pattern of temporary differences recognized as of the reporting date, as well as evaluating the mathematical accuracy of the recoverability analysis of the deferred tax asset;</w:t>
            </w:r>
          </w:p>
          <w:p w14:paraId="27FA2B22" w14:textId="3EC92610" w:rsidR="005616C8" w:rsidRPr="000B2EEE" w:rsidRDefault="00000000" w:rsidP="00F60E1E">
            <w:pPr>
              <w:pStyle w:val="TableParagraph"/>
              <w:numPr>
                <w:ilvl w:val="0"/>
                <w:numId w:val="4"/>
              </w:numPr>
              <w:tabs>
                <w:tab w:val="left" w:pos="426"/>
                <w:tab w:val="left" w:pos="432"/>
              </w:tabs>
              <w:spacing w:before="123"/>
              <w:ind w:left="432" w:right="389" w:hanging="340"/>
              <w:rPr>
                <w:sz w:val="18"/>
                <w:szCs w:val="18"/>
              </w:rPr>
            </w:pPr>
            <w:r>
              <w:rPr>
                <w:sz w:val="18"/>
              </w:rPr>
              <w:t>engaging in discussions with the Company’s Management Board and analyzing the tax projections prepared by the Company, forming the basis for assessing the recoverability of the deferred tax asset in future financial years, including the assumptions made regarding projected taxable income and expenses, broken down by the generic drug segment and the innovative drug segment;</w:t>
            </w:r>
          </w:p>
          <w:p w14:paraId="41FDF583" w14:textId="00C130CD" w:rsidR="005616C8" w:rsidRPr="000B2EEE" w:rsidRDefault="00000000" w:rsidP="00F60E1E">
            <w:pPr>
              <w:pStyle w:val="TableParagraph"/>
              <w:numPr>
                <w:ilvl w:val="0"/>
                <w:numId w:val="4"/>
              </w:numPr>
              <w:tabs>
                <w:tab w:val="left" w:pos="425"/>
                <w:tab w:val="left" w:pos="433"/>
              </w:tabs>
              <w:spacing w:before="136"/>
              <w:ind w:left="425" w:right="477" w:hanging="333"/>
              <w:rPr>
                <w:sz w:val="18"/>
                <w:szCs w:val="18"/>
              </w:rPr>
            </w:pPr>
            <w:r>
              <w:rPr>
                <w:sz w:val="18"/>
              </w:rPr>
              <w:t>obtaining a statement from the Company’s Management Board regarding the completeness and correctness of the input data provided to us and the significant assumptions made.</w:t>
            </w:r>
          </w:p>
          <w:p w14:paraId="601F28E4" w14:textId="734E3294" w:rsidR="005616C8" w:rsidRPr="000B2EEE" w:rsidRDefault="00000000" w:rsidP="00F60E1E">
            <w:pPr>
              <w:pStyle w:val="TableParagraph"/>
              <w:spacing w:before="109"/>
              <w:ind w:left="99" w:right="711" w:firstLine="4"/>
              <w:rPr>
                <w:sz w:val="18"/>
                <w:szCs w:val="18"/>
              </w:rPr>
            </w:pPr>
            <w:r>
              <w:rPr>
                <w:sz w:val="18"/>
              </w:rPr>
              <w:t>In addition, we assessed the scope and adequacy of the disclosures included in the financial statements regarding the deferred tax asset, to determine whether they are consistent with the requirements of the applicable financial reporting standards.</w:t>
            </w:r>
          </w:p>
        </w:tc>
      </w:tr>
      <w:tr w:rsidR="000B2EEE" w:rsidRPr="000B2EEE" w14:paraId="5C26E0F6" w14:textId="77777777">
        <w:trPr>
          <w:trHeight w:val="417"/>
        </w:trPr>
        <w:tc>
          <w:tcPr>
            <w:tcW w:w="8219" w:type="dxa"/>
            <w:gridSpan w:val="2"/>
          </w:tcPr>
          <w:p w14:paraId="4AA2A1D2" w14:textId="77777777" w:rsidR="005616C8" w:rsidRPr="00F60E1E" w:rsidRDefault="00000000">
            <w:pPr>
              <w:pStyle w:val="TableParagraph"/>
              <w:spacing w:before="118"/>
              <w:ind w:left="47"/>
              <w:jc w:val="center"/>
              <w:rPr>
                <w:b/>
                <w:bCs/>
                <w:i/>
                <w:sz w:val="18"/>
                <w:szCs w:val="18"/>
              </w:rPr>
            </w:pPr>
            <w:r w:rsidRPr="00F60E1E">
              <w:rPr>
                <w:b/>
                <w:bCs/>
                <w:i/>
                <w:sz w:val="18"/>
              </w:rPr>
              <w:t>Recognition and accounting for grants</w:t>
            </w:r>
          </w:p>
        </w:tc>
      </w:tr>
      <w:tr w:rsidR="000B2EEE" w:rsidRPr="000B2EEE" w14:paraId="46733FA1" w14:textId="77777777">
        <w:trPr>
          <w:trHeight w:val="3451"/>
        </w:trPr>
        <w:tc>
          <w:tcPr>
            <w:tcW w:w="4067" w:type="dxa"/>
          </w:tcPr>
          <w:p w14:paraId="5A9117E1" w14:textId="77777777" w:rsidR="005616C8" w:rsidRPr="000B2EEE" w:rsidRDefault="00000000" w:rsidP="00F60E1E">
            <w:pPr>
              <w:pStyle w:val="TableParagraph"/>
              <w:spacing w:before="118"/>
              <w:ind w:left="100" w:right="287" w:firstLine="9"/>
              <w:rPr>
                <w:sz w:val="18"/>
                <w:szCs w:val="18"/>
              </w:rPr>
            </w:pPr>
            <w:r>
              <w:rPr>
                <w:sz w:val="18"/>
              </w:rPr>
              <w:t>The Company receives and accounts for significant grants for its innovative projects.</w:t>
            </w:r>
          </w:p>
          <w:p w14:paraId="2F81E976" w14:textId="7AD9FCF8" w:rsidR="005616C8" w:rsidRPr="000B2EEE" w:rsidRDefault="00000000" w:rsidP="00F60E1E">
            <w:pPr>
              <w:pStyle w:val="TableParagraph"/>
              <w:ind w:left="102" w:right="229" w:firstLine="1"/>
              <w:rPr>
                <w:sz w:val="18"/>
                <w:szCs w:val="18"/>
              </w:rPr>
            </w:pPr>
            <w:r>
              <w:rPr>
                <w:sz w:val="18"/>
              </w:rPr>
              <w:t>In the financial statements for the year ended December 31, 2024, the Company recognized grant income of PLN 27.4 million, while the carrying amount of grants recognized as long-term and short-term deferred income in the Company’s statement of financial position as of December 31, 2024, amounted to</w:t>
            </w:r>
            <w:r w:rsidR="00F60E1E">
              <w:rPr>
                <w:sz w:val="18"/>
                <w:szCs w:val="18"/>
              </w:rPr>
              <w:t xml:space="preserve"> </w:t>
            </w:r>
            <w:r>
              <w:rPr>
                <w:sz w:val="18"/>
              </w:rPr>
              <w:t>PLN 38.1 million, representing 39% of the Company’s total liabilities as of that date.</w:t>
            </w:r>
          </w:p>
        </w:tc>
        <w:tc>
          <w:tcPr>
            <w:tcW w:w="4152" w:type="dxa"/>
          </w:tcPr>
          <w:p w14:paraId="25E6264A" w14:textId="629245FC" w:rsidR="005616C8" w:rsidRPr="000B2EEE" w:rsidRDefault="00000000" w:rsidP="00F60E1E">
            <w:pPr>
              <w:pStyle w:val="TableParagraph"/>
              <w:spacing w:before="118"/>
              <w:ind w:left="99" w:right="664" w:firstLine="4"/>
              <w:rPr>
                <w:sz w:val="18"/>
                <w:szCs w:val="18"/>
              </w:rPr>
            </w:pPr>
            <w:r>
              <w:rPr>
                <w:sz w:val="18"/>
              </w:rPr>
              <w:t>Our audit procedures with respect to the key audit matter in question included, inter alia:</w:t>
            </w:r>
          </w:p>
          <w:p w14:paraId="051D1DD1" w14:textId="2B0A86A1" w:rsidR="005616C8" w:rsidRPr="000B2EEE" w:rsidRDefault="00000000" w:rsidP="00F60E1E">
            <w:pPr>
              <w:pStyle w:val="TableParagraph"/>
              <w:numPr>
                <w:ilvl w:val="0"/>
                <w:numId w:val="3"/>
              </w:numPr>
              <w:tabs>
                <w:tab w:val="left" w:pos="429"/>
                <w:tab w:val="left" w:pos="432"/>
              </w:tabs>
              <w:spacing w:before="123"/>
              <w:ind w:right="90" w:hanging="340"/>
              <w:rPr>
                <w:sz w:val="18"/>
                <w:szCs w:val="18"/>
              </w:rPr>
            </w:pPr>
            <w:r>
              <w:rPr>
                <w:sz w:val="18"/>
              </w:rPr>
              <w:t>understanding the process of obtaining and accounting for grants in the Company, including the identification of key control mechanisms in this area;</w:t>
            </w:r>
          </w:p>
          <w:p w14:paraId="037F51D6" w14:textId="6909EB8A" w:rsidR="005616C8" w:rsidRPr="000B2EEE" w:rsidRDefault="00000000" w:rsidP="00F60E1E">
            <w:pPr>
              <w:pStyle w:val="TableParagraph"/>
              <w:numPr>
                <w:ilvl w:val="0"/>
                <w:numId w:val="3"/>
              </w:numPr>
              <w:tabs>
                <w:tab w:val="left" w:pos="426"/>
              </w:tabs>
              <w:spacing w:before="135"/>
              <w:ind w:left="426" w:right="840" w:hanging="334"/>
              <w:rPr>
                <w:sz w:val="18"/>
                <w:szCs w:val="18"/>
              </w:rPr>
            </w:pPr>
            <w:r>
              <w:rPr>
                <w:sz w:val="18"/>
              </w:rPr>
              <w:t>verifying, on a selected sample of subsidized projects, the legitimacy of grants received by confirming that the grants were received in accordance with the agreement and the Company’s funding applications;</w:t>
            </w:r>
          </w:p>
        </w:tc>
      </w:tr>
    </w:tbl>
    <w:p w14:paraId="4E5CE8DE" w14:textId="77777777" w:rsidR="005616C8" w:rsidRPr="000B2EEE" w:rsidRDefault="005616C8">
      <w:pPr>
        <w:spacing w:line="252" w:lineRule="auto"/>
        <w:rPr>
          <w:sz w:val="18"/>
          <w:szCs w:val="18"/>
        </w:rPr>
        <w:sectPr w:rsidR="005616C8" w:rsidRPr="000B2EEE">
          <w:headerReference w:type="default" r:id="rId12"/>
          <w:footerReference w:type="default" r:id="rId13"/>
          <w:pgSz w:w="11900" w:h="16840"/>
          <w:pgMar w:top="1960" w:right="1680" w:bottom="1760" w:left="1680" w:header="1043" w:footer="1580" w:gutter="0"/>
          <w:cols w:space="708"/>
        </w:sectPr>
      </w:pPr>
    </w:p>
    <w:p w14:paraId="082D0AFE" w14:textId="77777777" w:rsidR="005616C8" w:rsidRDefault="005616C8">
      <w:pPr>
        <w:pStyle w:val="Tekstpodstawowy"/>
        <w:spacing w:before="5"/>
        <w:rPr>
          <w:b/>
        </w:rPr>
      </w:pPr>
    </w:p>
    <w:p w14:paraId="47827D92" w14:textId="77777777" w:rsidR="00F60E1E" w:rsidRPr="000B2EEE" w:rsidRDefault="00F60E1E">
      <w:pPr>
        <w:pStyle w:val="Tekstpodstawowy"/>
        <w:spacing w:before="5"/>
        <w:rPr>
          <w:b/>
        </w:rPr>
      </w:pPr>
    </w:p>
    <w:tbl>
      <w:tblPr>
        <w:tblStyle w:val="TableNormal"/>
        <w:tblW w:w="0" w:type="auto"/>
        <w:tblInd w:w="1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055"/>
        <w:gridCol w:w="4164"/>
      </w:tblGrid>
      <w:tr w:rsidR="005616C8" w:rsidRPr="000B2EEE" w14:paraId="329F94EB" w14:textId="77777777">
        <w:trPr>
          <w:trHeight w:val="10755"/>
        </w:trPr>
        <w:tc>
          <w:tcPr>
            <w:tcW w:w="4055" w:type="dxa"/>
          </w:tcPr>
          <w:p w14:paraId="6C7ACB5C" w14:textId="771EFDA6" w:rsidR="005616C8" w:rsidRPr="000B2EEE" w:rsidRDefault="00000000" w:rsidP="00236EE8">
            <w:pPr>
              <w:pStyle w:val="TableParagraph"/>
              <w:spacing w:before="101" w:line="252" w:lineRule="auto"/>
              <w:ind w:left="88" w:right="48" w:firstLine="4"/>
              <w:rPr>
                <w:sz w:val="18"/>
                <w:szCs w:val="18"/>
              </w:rPr>
            </w:pPr>
            <w:r>
              <w:rPr>
                <w:sz w:val="18"/>
              </w:rPr>
              <w:t>The amounts of funds received are recorded as deferred income related to grants. The Company assesses the point in time at which advances or reimbursements received under grants for research and development activities are recognized as income, taking into account the risk of their potential repayment. Grants for innovative projects are recognized in revenue gradually as costs are incurred, but not earlier than when the Company obtains sufficient assurance that the grant will not be subject to repayment to the institution awarding the grant.</w:t>
            </w:r>
          </w:p>
          <w:p w14:paraId="3DD87D3C" w14:textId="77777777" w:rsidR="005616C8" w:rsidRPr="000B2EEE" w:rsidRDefault="00000000">
            <w:pPr>
              <w:pStyle w:val="TableParagraph"/>
              <w:spacing w:before="111" w:line="252" w:lineRule="auto"/>
              <w:ind w:left="88" w:right="572" w:firstLine="4"/>
              <w:rPr>
                <w:sz w:val="18"/>
                <w:szCs w:val="18"/>
              </w:rPr>
            </w:pPr>
            <w:r>
              <w:rPr>
                <w:sz w:val="18"/>
              </w:rPr>
              <w:t>In the case of grants related to tangible assets, the grant is recognized in income over the useful life of the subsidized assets, in parallel with the depreciation charges, effectively reducing the related depreciation expense.</w:t>
            </w:r>
          </w:p>
          <w:p w14:paraId="4AFBB1CC" w14:textId="17CA9CC0" w:rsidR="005616C8" w:rsidRPr="000B2EEE" w:rsidRDefault="00000000" w:rsidP="00236EE8">
            <w:pPr>
              <w:pStyle w:val="TableParagraph"/>
              <w:spacing w:before="110" w:line="252" w:lineRule="auto"/>
              <w:ind w:left="86" w:right="48"/>
              <w:rPr>
                <w:sz w:val="18"/>
                <w:szCs w:val="18"/>
              </w:rPr>
            </w:pPr>
            <w:r>
              <w:rPr>
                <w:sz w:val="18"/>
              </w:rPr>
              <w:t>The grants received originate from the Innovative Economy Operational Program and programs implemented and managed by the National Center for Research and Development, and are subject to detailed verification in terms of compliance with the conditions of the funding agreements, including material and financial schedules.</w:t>
            </w:r>
            <w:r>
              <w:rPr>
                <w:sz w:val="18"/>
              </w:rPr>
              <w:cr/>
            </w:r>
          </w:p>
          <w:p w14:paraId="34E0A970" w14:textId="2093BEDF" w:rsidR="005616C8" w:rsidRPr="000B2EEE" w:rsidRDefault="00000000">
            <w:pPr>
              <w:pStyle w:val="TableParagraph"/>
              <w:spacing w:before="110" w:line="252" w:lineRule="auto"/>
              <w:ind w:left="89" w:right="48"/>
              <w:rPr>
                <w:sz w:val="18"/>
                <w:szCs w:val="18"/>
              </w:rPr>
            </w:pPr>
            <w:r>
              <w:rPr>
                <w:sz w:val="18"/>
              </w:rPr>
              <w:t>There is a risk that irregularities in the implementation of innovative projects may result in the repayment of a part of the grant or its entirety.</w:t>
            </w:r>
          </w:p>
          <w:p w14:paraId="542E8B4C" w14:textId="2F2EFD90" w:rsidR="005616C8" w:rsidRPr="000B2EEE" w:rsidRDefault="00000000" w:rsidP="00236EE8">
            <w:pPr>
              <w:pStyle w:val="TableParagraph"/>
              <w:spacing w:line="256" w:lineRule="auto"/>
              <w:ind w:left="88" w:right="572" w:firstLine="3"/>
              <w:rPr>
                <w:sz w:val="18"/>
                <w:szCs w:val="18"/>
              </w:rPr>
            </w:pPr>
            <w:r>
              <w:rPr>
                <w:sz w:val="18"/>
              </w:rPr>
              <w:t>Considering the issue of accounting for grants and recognizing them in revenue, as well as their potential repayment, and taking into account the significance of grants in financing the Company’s innovative activities, we considered this issue to be a key audit matter.</w:t>
            </w:r>
          </w:p>
          <w:p w14:paraId="3A06ECB4" w14:textId="5F0E412F" w:rsidR="005616C8" w:rsidRPr="000B2EEE" w:rsidRDefault="00000000" w:rsidP="00236EE8">
            <w:pPr>
              <w:pStyle w:val="TableParagraph"/>
              <w:spacing w:before="106" w:line="252" w:lineRule="auto"/>
              <w:ind w:left="89" w:right="48" w:firstLine="2"/>
              <w:rPr>
                <w:sz w:val="18"/>
                <w:szCs w:val="18"/>
              </w:rPr>
            </w:pPr>
            <w:r>
              <w:rPr>
                <w:sz w:val="18"/>
              </w:rPr>
              <w:t>The accounting policies related to grants are described in Note 35.21.2 to the financial statements, while Note 24 discloses the deferred income from grants, broken down by their nature and expected timing of their performance.</w:t>
            </w:r>
          </w:p>
        </w:tc>
        <w:tc>
          <w:tcPr>
            <w:tcW w:w="4164" w:type="dxa"/>
          </w:tcPr>
          <w:p w14:paraId="20822801" w14:textId="40E78F8D" w:rsidR="005616C8" w:rsidRPr="000B2EEE" w:rsidRDefault="00000000" w:rsidP="00236EE8">
            <w:pPr>
              <w:pStyle w:val="TableParagraph"/>
              <w:numPr>
                <w:ilvl w:val="0"/>
                <w:numId w:val="2"/>
              </w:numPr>
              <w:tabs>
                <w:tab w:val="left" w:pos="428"/>
                <w:tab w:val="left" w:pos="434"/>
              </w:tabs>
              <w:spacing w:before="113" w:line="252" w:lineRule="auto"/>
              <w:ind w:right="273" w:hanging="337"/>
              <w:rPr>
                <w:sz w:val="18"/>
                <w:szCs w:val="18"/>
              </w:rPr>
            </w:pPr>
            <w:r>
              <w:rPr>
                <w:sz w:val="18"/>
              </w:rPr>
              <w:t>for selected significant cash flows related to grants and settlements with consortium members, determining the amounts of these cash flows with the source documentation;</w:t>
            </w:r>
          </w:p>
          <w:p w14:paraId="3C458342" w14:textId="77777777" w:rsidR="005616C8" w:rsidRPr="000B2EEE" w:rsidRDefault="00000000">
            <w:pPr>
              <w:pStyle w:val="TableParagraph"/>
              <w:numPr>
                <w:ilvl w:val="0"/>
                <w:numId w:val="2"/>
              </w:numPr>
              <w:tabs>
                <w:tab w:val="left" w:pos="430"/>
                <w:tab w:val="left" w:pos="434"/>
              </w:tabs>
              <w:spacing w:before="133" w:line="249" w:lineRule="auto"/>
              <w:ind w:left="430" w:right="324" w:hanging="333"/>
              <w:rPr>
                <w:sz w:val="18"/>
                <w:szCs w:val="18"/>
              </w:rPr>
            </w:pPr>
            <w:r>
              <w:rPr>
                <w:sz w:val="18"/>
              </w:rPr>
              <w:t>conducting discussions with the Company’s Management Board in order to understand the progress of projects, key milestones, and the further direction of activities carried out within these projects.</w:t>
            </w:r>
          </w:p>
          <w:p w14:paraId="51C94D19" w14:textId="77777777" w:rsidR="005616C8" w:rsidRPr="000B2EEE" w:rsidRDefault="00000000">
            <w:pPr>
              <w:pStyle w:val="TableParagraph"/>
              <w:spacing w:before="111" w:line="252" w:lineRule="auto"/>
              <w:ind w:left="101" w:right="116" w:firstLine="3"/>
              <w:rPr>
                <w:sz w:val="18"/>
                <w:szCs w:val="18"/>
              </w:rPr>
            </w:pPr>
            <w:r>
              <w:rPr>
                <w:sz w:val="18"/>
              </w:rPr>
              <w:t>As part of our audit, we also evaluated the scope and adequacy of disclosures in the financial statements regarding grants, including accounting policies as well as estimates and judgments made by the Company’s Management Board.</w:t>
            </w:r>
          </w:p>
        </w:tc>
      </w:tr>
    </w:tbl>
    <w:p w14:paraId="2F20D73C" w14:textId="77777777" w:rsidR="005616C8" w:rsidRPr="000B2EEE" w:rsidRDefault="005616C8">
      <w:pPr>
        <w:spacing w:line="252" w:lineRule="auto"/>
        <w:rPr>
          <w:sz w:val="18"/>
          <w:szCs w:val="18"/>
        </w:rPr>
        <w:sectPr w:rsidR="005616C8" w:rsidRPr="000B2EEE">
          <w:pgSz w:w="11900" w:h="16840"/>
          <w:pgMar w:top="1960" w:right="1680" w:bottom="1760" w:left="1680" w:header="1043" w:footer="1580" w:gutter="0"/>
          <w:cols w:space="708"/>
        </w:sectPr>
      </w:pPr>
    </w:p>
    <w:p w14:paraId="56BBFD52" w14:textId="77777777" w:rsidR="005616C8" w:rsidRPr="000B2EEE" w:rsidRDefault="005616C8">
      <w:pPr>
        <w:pStyle w:val="Tekstpodstawowy"/>
      </w:pPr>
    </w:p>
    <w:p w14:paraId="04F20B22" w14:textId="77777777" w:rsidR="005616C8" w:rsidRPr="000B2EEE" w:rsidRDefault="005616C8">
      <w:pPr>
        <w:pStyle w:val="Tekstpodstawowy"/>
        <w:spacing w:before="132"/>
      </w:pPr>
    </w:p>
    <w:p w14:paraId="54A1D0BF" w14:textId="0E7AE825" w:rsidR="005616C8" w:rsidRPr="00F60E1E" w:rsidRDefault="00000000">
      <w:pPr>
        <w:pStyle w:val="Tekstpodstawowy"/>
        <w:spacing w:before="1"/>
        <w:ind w:left="177"/>
        <w:rPr>
          <w:b/>
          <w:bCs/>
        </w:rPr>
      </w:pPr>
      <w:r w:rsidRPr="00F60E1E">
        <w:rPr>
          <w:b/>
          <w:bCs/>
        </w:rPr>
        <w:t>Responsibility of the Management Board and Supervisory Board for the financial statements</w:t>
      </w:r>
    </w:p>
    <w:p w14:paraId="5ED20E78" w14:textId="77777777" w:rsidR="005616C8" w:rsidRPr="000B2EEE" w:rsidRDefault="00000000">
      <w:pPr>
        <w:pStyle w:val="Tekstpodstawowy"/>
        <w:spacing w:before="192" w:line="252" w:lineRule="auto"/>
        <w:ind w:left="184" w:right="116" w:hanging="3"/>
        <w:jc w:val="both"/>
      </w:pPr>
      <w:r>
        <w:t>The Company’s Management Board is responsible for preparing the financial statements, based on properly maintained accounting records, that present a true and fair view of the Company’s financial position and financial performance in accordance with International Financial Reporting Standards endorsed by the European Union, the adopted accounting policies, applicable laws, and the Company’s articles of association, as well as for maintaining internal control deemed necessary by the Management Board to enable the preparation of financial statements free from material misstatements, whether due to fraud or error.</w:t>
      </w:r>
    </w:p>
    <w:p w14:paraId="3B81FEB1" w14:textId="77777777" w:rsidR="005616C8" w:rsidRPr="000B2EEE" w:rsidRDefault="00000000">
      <w:pPr>
        <w:pStyle w:val="Tekstpodstawowy"/>
        <w:spacing w:before="110" w:line="254" w:lineRule="auto"/>
        <w:ind w:left="180" w:right="118" w:firstLine="10"/>
        <w:jc w:val="both"/>
      </w:pPr>
      <w:r>
        <w:t>In preparing the financial statements, the Company’s Management Board is responsible for assessing the Company’s ability to continue as a going concern, disclosing, where applicable, matters related to going concern, and applying the going concern basis of accounting, unless the Management Board either intends to liquidate the Company, cease operations, or has no viable alternative to liquidation or cessation of operations.</w:t>
      </w:r>
    </w:p>
    <w:p w14:paraId="051491C3" w14:textId="77777777" w:rsidR="005616C8" w:rsidRPr="000B2EEE" w:rsidRDefault="00000000">
      <w:pPr>
        <w:pStyle w:val="Tekstpodstawowy"/>
        <w:spacing w:before="110" w:line="252" w:lineRule="auto"/>
        <w:ind w:left="184" w:right="114" w:hanging="2"/>
        <w:jc w:val="both"/>
      </w:pPr>
      <w:r>
        <w:t>The Company’s Management Board and members of the Supervisory Board are required to ensure that the financial statements meet the requirements set forth in the Accounting Act. The members of the Supervisory Board are responsible for supervising the Company’s financial reporting process.</w:t>
      </w:r>
    </w:p>
    <w:p w14:paraId="0128A7EE" w14:textId="77777777" w:rsidR="005616C8" w:rsidRPr="000B2EEE" w:rsidRDefault="005616C8">
      <w:pPr>
        <w:pStyle w:val="Tekstpodstawowy"/>
      </w:pPr>
    </w:p>
    <w:p w14:paraId="0FBF10E2" w14:textId="77777777" w:rsidR="005616C8" w:rsidRPr="000B2EEE" w:rsidRDefault="005616C8">
      <w:pPr>
        <w:pStyle w:val="Tekstpodstawowy"/>
        <w:spacing w:before="46"/>
      </w:pPr>
    </w:p>
    <w:p w14:paraId="2FF76327" w14:textId="77777777" w:rsidR="005616C8" w:rsidRPr="00F60E1E" w:rsidRDefault="00000000">
      <w:pPr>
        <w:pStyle w:val="Tekstpodstawowy"/>
        <w:ind w:left="177"/>
        <w:jc w:val="both"/>
        <w:rPr>
          <w:b/>
          <w:bCs/>
        </w:rPr>
      </w:pPr>
      <w:r w:rsidRPr="00F60E1E">
        <w:rPr>
          <w:b/>
          <w:bCs/>
        </w:rPr>
        <w:t>Responsibilities of the statutory auditor for auditing the financial statements</w:t>
      </w:r>
    </w:p>
    <w:p w14:paraId="40A3A539" w14:textId="5C509A13" w:rsidR="005616C8" w:rsidRPr="000B2EEE" w:rsidRDefault="00000000">
      <w:pPr>
        <w:pStyle w:val="Tekstpodstawowy"/>
        <w:spacing w:before="204" w:line="252" w:lineRule="auto"/>
        <w:ind w:left="180" w:right="118" w:firstLine="4"/>
        <w:jc w:val="both"/>
      </w:pPr>
      <w:r>
        <w:t>Our objectives are to obtain reasonable assurance about whether the financial statements overall are free from material misstatements, caused by fraud or error, and to issue an audit report that includes our opinion. Reasonable assurance represents a high level of assurance, however does not guarantee that an audit performed in accordance with the NAS will always detect a material misstatement. Misstatements may arise from fraud or error and are considered material if, individually or in the aggregate, they could reasonably be expected to influence the economic decisions of users taken on the basis of these financial statements.</w:t>
      </w:r>
    </w:p>
    <w:p w14:paraId="610659ED" w14:textId="77777777" w:rsidR="005616C8" w:rsidRPr="000B2EEE" w:rsidRDefault="00000000">
      <w:pPr>
        <w:pStyle w:val="Tekstpodstawowy"/>
        <w:spacing w:before="111" w:line="252" w:lineRule="auto"/>
        <w:ind w:left="180" w:right="118" w:firstLine="4"/>
        <w:jc w:val="both"/>
      </w:pPr>
      <w:r>
        <w:t>The concept of materiality is applied by the statutory auditor both in planning and performing the audit and in assessing the impact of misstatements identified during the audit and uncorrected misstatements, if any, on the financial statements, as well as in formulating the statutory auditor’s opinion. Therefore, all opinions and statements in the audit report are expressed taking into account the qualitative and quantitative level of materiality determined in accordance with auditing standards and the professional judgment of the statutory auditor.</w:t>
      </w:r>
    </w:p>
    <w:p w14:paraId="4BB4D5EE" w14:textId="77777777" w:rsidR="005616C8" w:rsidRPr="000B2EEE" w:rsidRDefault="00000000">
      <w:pPr>
        <w:pStyle w:val="Tekstpodstawowy"/>
        <w:spacing w:before="111" w:line="252" w:lineRule="auto"/>
        <w:ind w:left="187" w:right="129" w:hanging="5"/>
        <w:jc w:val="both"/>
      </w:pPr>
      <w:r>
        <w:t>The scope of the audit does not include providing assurance regarding the future profitability of the Company or the efficiency or effectiveness of the management of its affairs by the Company’s Management Board, either now or in the future.</w:t>
      </w:r>
    </w:p>
    <w:p w14:paraId="737FD676" w14:textId="77777777" w:rsidR="005616C8" w:rsidRPr="000B2EEE" w:rsidRDefault="00000000">
      <w:pPr>
        <w:pStyle w:val="Tekstpodstawowy"/>
        <w:spacing w:before="109" w:line="266" w:lineRule="auto"/>
        <w:ind w:left="180" w:right="137" w:firstLine="4"/>
        <w:jc w:val="both"/>
      </w:pPr>
      <w:r>
        <w:t>When conducting an audit in accordance with the NAS, we apply professional judgment and maintain professional skepticism, as well as we:</w:t>
      </w:r>
    </w:p>
    <w:p w14:paraId="0A536641" w14:textId="26D6A39D" w:rsidR="005616C8" w:rsidRPr="000B2EEE" w:rsidRDefault="00000000">
      <w:pPr>
        <w:pStyle w:val="Akapitzlist"/>
        <w:numPr>
          <w:ilvl w:val="0"/>
          <w:numId w:val="1"/>
        </w:numPr>
        <w:tabs>
          <w:tab w:val="left" w:pos="499"/>
          <w:tab w:val="left" w:pos="506"/>
        </w:tabs>
        <w:spacing w:before="97" w:line="252" w:lineRule="auto"/>
        <w:ind w:right="114" w:hanging="330"/>
        <w:rPr>
          <w:sz w:val="18"/>
          <w:szCs w:val="18"/>
        </w:rPr>
      </w:pPr>
      <w:r>
        <w:rPr>
          <w:sz w:val="18"/>
        </w:rPr>
        <w:t>identify and assess the risks of material misstatement of the financial statements, whether due to fraud or error, design and perform audit procedures responsive to those risks, and obtain audit evidence that is sufficient and appropriate to provide a basis for our opinion. The risk of failure to detect a material misstatement resulting from fraud is greater than that resulting from error, as fraud may involve collusion, forgery, deliberate omissions, misrepresentation, or the circumvention of internal controls.</w:t>
      </w:r>
    </w:p>
    <w:p w14:paraId="3C8688FB" w14:textId="77777777" w:rsidR="005616C8" w:rsidRPr="000B2EEE" w:rsidRDefault="00000000">
      <w:pPr>
        <w:pStyle w:val="Akapitzlist"/>
        <w:numPr>
          <w:ilvl w:val="0"/>
          <w:numId w:val="1"/>
        </w:numPr>
        <w:tabs>
          <w:tab w:val="left" w:pos="499"/>
          <w:tab w:val="left" w:pos="501"/>
        </w:tabs>
        <w:spacing w:before="62" w:line="252" w:lineRule="auto"/>
        <w:ind w:left="501"/>
        <w:rPr>
          <w:sz w:val="18"/>
          <w:szCs w:val="18"/>
        </w:rPr>
      </w:pPr>
      <w:r>
        <w:rPr>
          <w:sz w:val="18"/>
        </w:rPr>
        <w:t>obtain an understanding of internal control relevant to the audit in order to design audit procedures that are appropriate in the circumstances, but not for the purpose of expressing an opinion on the effectiveness of the Company’s internal control,</w:t>
      </w:r>
    </w:p>
    <w:p w14:paraId="1041D5F6" w14:textId="77777777" w:rsidR="005616C8" w:rsidRPr="000B2EEE" w:rsidRDefault="005616C8">
      <w:pPr>
        <w:spacing w:line="252" w:lineRule="auto"/>
        <w:jc w:val="both"/>
        <w:rPr>
          <w:sz w:val="18"/>
          <w:szCs w:val="18"/>
        </w:rPr>
        <w:sectPr w:rsidR="005616C8" w:rsidRPr="000B2EEE">
          <w:pgSz w:w="11900" w:h="16840"/>
          <w:pgMar w:top="1960" w:right="1680" w:bottom="1760" w:left="1680" w:header="1043" w:footer="1580" w:gutter="0"/>
          <w:cols w:space="708"/>
        </w:sectPr>
      </w:pPr>
    </w:p>
    <w:p w14:paraId="28935E2F" w14:textId="77777777" w:rsidR="005616C8" w:rsidRDefault="005616C8">
      <w:pPr>
        <w:pStyle w:val="Tekstpodstawowy"/>
        <w:spacing w:before="83"/>
        <w:rPr>
          <w:b/>
        </w:rPr>
      </w:pPr>
    </w:p>
    <w:p w14:paraId="166126D0" w14:textId="77777777" w:rsidR="00F60E1E" w:rsidRPr="000B2EEE" w:rsidRDefault="00F60E1E">
      <w:pPr>
        <w:pStyle w:val="Tekstpodstawowy"/>
        <w:spacing w:before="83"/>
        <w:rPr>
          <w:b/>
        </w:rPr>
      </w:pPr>
    </w:p>
    <w:p w14:paraId="389100F3" w14:textId="77777777" w:rsidR="005616C8" w:rsidRPr="000B2EEE" w:rsidRDefault="00000000">
      <w:pPr>
        <w:pStyle w:val="Akapitzlist"/>
        <w:numPr>
          <w:ilvl w:val="0"/>
          <w:numId w:val="1"/>
        </w:numPr>
        <w:tabs>
          <w:tab w:val="left" w:pos="507"/>
        </w:tabs>
        <w:spacing w:line="252" w:lineRule="auto"/>
        <w:ind w:left="507" w:right="137" w:hanging="331"/>
        <w:rPr>
          <w:sz w:val="18"/>
          <w:szCs w:val="18"/>
        </w:rPr>
      </w:pPr>
      <w:r>
        <w:rPr>
          <w:sz w:val="18"/>
        </w:rPr>
        <w:t>assess the appropriateness of the accounting policies applied, the reasonableness of the accounting estimates, and the related disclosures made by the Company’s Management Board.</w:t>
      </w:r>
    </w:p>
    <w:p w14:paraId="2DDE35E2" w14:textId="134F7436" w:rsidR="005616C8" w:rsidRPr="000B2EEE" w:rsidRDefault="00000000">
      <w:pPr>
        <w:pStyle w:val="Akapitzlist"/>
        <w:numPr>
          <w:ilvl w:val="0"/>
          <w:numId w:val="1"/>
        </w:numPr>
        <w:tabs>
          <w:tab w:val="left" w:pos="501"/>
          <w:tab w:val="left" w:pos="511"/>
        </w:tabs>
        <w:spacing w:before="61" w:line="252" w:lineRule="auto"/>
        <w:ind w:left="501" w:right="106"/>
        <w:rPr>
          <w:sz w:val="18"/>
          <w:szCs w:val="18"/>
        </w:rPr>
      </w:pPr>
      <w:r>
        <w:rPr>
          <w:sz w:val="18"/>
        </w:rPr>
        <w:t>draw a conclusion on the appropriateness of the Company’s Management Board’s application of the going concern basis of accounting and, based on the audit evidence obtained, whether there is a material uncertainty related to events or conditions that may cast significant doubt on the Company’s ability to continue as a going concern. If we reach the conclusion that a material uncertainty exists, we are required to draw attention in our statutory auditor's report to the related disclosures in the financial statements or, if such disclosures are inadequate, to modify our opinion. Our conclusions are based on the audit evidence obtained up to the date of our statutory auditor's report, however future events or conditions may cause the Company to cease to continue as a going concern.</w:t>
      </w:r>
    </w:p>
    <w:p w14:paraId="40C5DD24" w14:textId="77777777" w:rsidR="005616C8" w:rsidRPr="000B2EEE" w:rsidRDefault="00000000">
      <w:pPr>
        <w:pStyle w:val="Akapitzlist"/>
        <w:numPr>
          <w:ilvl w:val="0"/>
          <w:numId w:val="1"/>
        </w:numPr>
        <w:tabs>
          <w:tab w:val="left" w:pos="501"/>
          <w:tab w:val="left" w:pos="506"/>
        </w:tabs>
        <w:spacing w:before="63" w:line="252" w:lineRule="auto"/>
        <w:ind w:left="501" w:right="115"/>
        <w:rPr>
          <w:sz w:val="18"/>
          <w:szCs w:val="18"/>
        </w:rPr>
      </w:pPr>
      <w:r>
        <w:rPr>
          <w:sz w:val="18"/>
        </w:rPr>
        <w:t>evaluate the overall presentation, structure, and content of the financial statements, including disclosures, and whether the financial statements represent the underlying transactions and events in a manner that ensures a fair presentation.</w:t>
      </w:r>
    </w:p>
    <w:p w14:paraId="01C19735" w14:textId="77777777" w:rsidR="005616C8" w:rsidRPr="000B2EEE" w:rsidRDefault="00000000">
      <w:pPr>
        <w:pStyle w:val="Tekstpodstawowy"/>
        <w:spacing w:before="109" w:line="252" w:lineRule="auto"/>
        <w:ind w:left="180" w:right="110" w:firstLine="3"/>
        <w:jc w:val="both"/>
      </w:pPr>
      <w:r>
        <w:t>We report to the Audit Committee on, inter alia, the planned scope and timing of the audit and significant audit findings, including any significant weaknesses in internal control that we identify during our audit.</w:t>
      </w:r>
    </w:p>
    <w:p w14:paraId="7AD279A8" w14:textId="77777777" w:rsidR="005616C8" w:rsidRPr="000B2EEE" w:rsidRDefault="00000000">
      <w:pPr>
        <w:pStyle w:val="Tekstpodstawowy"/>
        <w:spacing w:before="110" w:line="252" w:lineRule="auto"/>
        <w:ind w:left="180" w:right="118" w:firstLine="10"/>
        <w:jc w:val="both"/>
      </w:pPr>
      <w:r>
        <w:t>We make a declaration to the Audit Committee that we have complied with the relevant ethical requirements regarding independence and that we will inform them of any relationships and other matters that could reasonably be considered to threaten our independence and, where applicable, we will inform them of the actions taken to eliminate the threats or the safeguards applied.</w:t>
      </w:r>
    </w:p>
    <w:p w14:paraId="77922515" w14:textId="77777777" w:rsidR="005616C8" w:rsidRPr="000B2EEE" w:rsidRDefault="00000000">
      <w:pPr>
        <w:pStyle w:val="Tekstpodstawowy"/>
        <w:spacing w:before="110" w:line="252" w:lineRule="auto"/>
        <w:ind w:left="180" w:right="114" w:firstLine="9"/>
        <w:jc w:val="both"/>
      </w:pPr>
      <w:r>
        <w:t>From among the matters referred to the Audit Committee, we identified those matters that were most significant during the audit of the financial statements for the current reporting period and therefore considered them to be key audit matters. We describe these matters in our statutory auditor's report, unless they are prohibited from being disclosed publicly by law or regulation, or when, in exceptional circumstances, we determine that the matter should not be reported in our report because it could reasonably be expected that the adverse consequences would outweigh the benefits of such disclosure to the public interest.</w:t>
      </w:r>
    </w:p>
    <w:p w14:paraId="3CA57B8F" w14:textId="77777777" w:rsidR="005616C8" w:rsidRPr="000B2EEE" w:rsidRDefault="005616C8">
      <w:pPr>
        <w:pStyle w:val="Tekstpodstawowy"/>
      </w:pPr>
    </w:p>
    <w:p w14:paraId="3381EA34" w14:textId="77777777" w:rsidR="005616C8" w:rsidRPr="000B2EEE" w:rsidRDefault="005616C8">
      <w:pPr>
        <w:pStyle w:val="Tekstpodstawowy"/>
        <w:spacing w:before="59"/>
      </w:pPr>
    </w:p>
    <w:p w14:paraId="1A028AC9" w14:textId="77777777" w:rsidR="005616C8" w:rsidRPr="00F60E1E" w:rsidRDefault="00000000">
      <w:pPr>
        <w:pStyle w:val="Tekstpodstawowy"/>
        <w:ind w:left="181"/>
        <w:rPr>
          <w:b/>
          <w:bCs/>
        </w:rPr>
      </w:pPr>
      <w:r w:rsidRPr="00F60E1E">
        <w:rPr>
          <w:b/>
          <w:bCs/>
        </w:rPr>
        <w:t>Other Information, including the report on the Company's operations</w:t>
      </w:r>
    </w:p>
    <w:p w14:paraId="6E92F5D7" w14:textId="77777777" w:rsidR="005616C8" w:rsidRPr="000B2EEE" w:rsidRDefault="005616C8">
      <w:pPr>
        <w:pStyle w:val="Tekstpodstawowy"/>
        <w:spacing w:before="46"/>
      </w:pPr>
    </w:p>
    <w:p w14:paraId="16EE3B7C" w14:textId="77777777" w:rsidR="005616C8" w:rsidRPr="000B2EEE" w:rsidRDefault="00000000">
      <w:pPr>
        <w:pStyle w:val="Tekstpodstawowy"/>
        <w:spacing w:line="252" w:lineRule="auto"/>
        <w:ind w:left="175" w:right="104" w:firstLine="9"/>
        <w:jc w:val="both"/>
      </w:pPr>
      <w:r>
        <w:t>Other Information comprises the Management Board Report on operations of Celon Pharma S.A. for the year 2024 (the “Management Board Report”), together with the statement on the application of corporate governance principles and the sustainability reporting, which constitute separate parts of the Management Board Report, as well as other documents forming part of the annual report for the financial year ended December 31, 2024 (the “Annual Report”), excluding the financial statements and the statutory auditor’s report on the audit (the “Other Information”).</w:t>
      </w:r>
    </w:p>
    <w:p w14:paraId="4C6CB99F" w14:textId="6A29FB9B" w:rsidR="005616C8" w:rsidRPr="000B2EEE" w:rsidRDefault="00000000">
      <w:pPr>
        <w:spacing w:before="141"/>
        <w:ind w:left="170"/>
        <w:rPr>
          <w:i/>
          <w:sz w:val="18"/>
          <w:szCs w:val="18"/>
        </w:rPr>
      </w:pPr>
      <w:r>
        <w:rPr>
          <w:i/>
          <w:sz w:val="18"/>
        </w:rPr>
        <w:t>Responsibility of the Management Board and Supervisory Board</w:t>
      </w:r>
    </w:p>
    <w:p w14:paraId="0219DDBC" w14:textId="77777777" w:rsidR="005616C8" w:rsidRPr="000B2EEE" w:rsidRDefault="00000000">
      <w:pPr>
        <w:pStyle w:val="Tekstpodstawowy"/>
        <w:spacing w:before="174"/>
        <w:ind w:left="182"/>
      </w:pPr>
      <w:r>
        <w:t>The Company’s Management Board is responsible for preparing Other Information in accordance with the provisions of law.</w:t>
      </w:r>
    </w:p>
    <w:p w14:paraId="355C2806" w14:textId="77777777" w:rsidR="005616C8" w:rsidRPr="000B2EEE" w:rsidRDefault="00000000">
      <w:pPr>
        <w:pStyle w:val="Tekstpodstawowy"/>
        <w:spacing w:before="120" w:line="252" w:lineRule="auto"/>
        <w:ind w:left="180" w:right="118" w:firstLine="2"/>
        <w:jc w:val="both"/>
      </w:pPr>
      <w:r>
        <w:t>The Company’s Management Board and members of the Supervisory Board are required to ensure that the Management Board Report, together with its separate sections, meets the requirements set forth in the Accounting Act.</w:t>
      </w:r>
    </w:p>
    <w:p w14:paraId="2B7846E6" w14:textId="77777777" w:rsidR="005616C8" w:rsidRPr="000B2EEE" w:rsidRDefault="005616C8">
      <w:pPr>
        <w:spacing w:line="252" w:lineRule="auto"/>
        <w:jc w:val="both"/>
        <w:rPr>
          <w:sz w:val="18"/>
          <w:szCs w:val="18"/>
        </w:rPr>
        <w:sectPr w:rsidR="005616C8" w:rsidRPr="000B2EEE">
          <w:pgSz w:w="11900" w:h="16840"/>
          <w:pgMar w:top="1960" w:right="1680" w:bottom="1780" w:left="1680" w:header="1043" w:footer="1580" w:gutter="0"/>
          <w:cols w:space="708"/>
        </w:sectPr>
      </w:pPr>
    </w:p>
    <w:p w14:paraId="267E0DBD" w14:textId="77777777" w:rsidR="005616C8" w:rsidRDefault="005616C8">
      <w:pPr>
        <w:pStyle w:val="Tekstpodstawowy"/>
        <w:rPr>
          <w:b/>
        </w:rPr>
      </w:pPr>
    </w:p>
    <w:p w14:paraId="2524CB02" w14:textId="77777777" w:rsidR="00F60E1E" w:rsidRPr="000B2EEE" w:rsidRDefault="00F60E1E">
      <w:pPr>
        <w:pStyle w:val="Tekstpodstawowy"/>
        <w:rPr>
          <w:b/>
        </w:rPr>
      </w:pPr>
    </w:p>
    <w:p w14:paraId="4CE1D517" w14:textId="77777777" w:rsidR="005616C8" w:rsidRPr="000B2EEE" w:rsidRDefault="005616C8">
      <w:pPr>
        <w:pStyle w:val="Tekstpodstawowy"/>
        <w:spacing w:before="19"/>
        <w:rPr>
          <w:b/>
        </w:rPr>
      </w:pPr>
    </w:p>
    <w:p w14:paraId="0EB8AD7F" w14:textId="67A647CB" w:rsidR="005616C8" w:rsidRPr="000B2EEE" w:rsidRDefault="00000000">
      <w:pPr>
        <w:spacing w:before="1"/>
        <w:ind w:left="170"/>
        <w:rPr>
          <w:i/>
          <w:sz w:val="18"/>
          <w:szCs w:val="18"/>
        </w:rPr>
      </w:pPr>
      <w:r>
        <w:rPr>
          <w:i/>
          <w:sz w:val="18"/>
        </w:rPr>
        <w:t>Responsibility of statutory auditor</w:t>
      </w:r>
    </w:p>
    <w:p w14:paraId="5DE4A851" w14:textId="77777777" w:rsidR="005616C8" w:rsidRPr="000B2EEE" w:rsidRDefault="00000000">
      <w:pPr>
        <w:pStyle w:val="Tekstpodstawowy"/>
        <w:spacing w:before="182" w:line="252" w:lineRule="auto"/>
        <w:ind w:left="180" w:right="109" w:firstLine="3"/>
        <w:jc w:val="both"/>
      </w:pPr>
      <w:r>
        <w:t>Our opinion on the financial statements does not cover Other Information. In connection with our audit of the financial statements, it is our responsibility to read the Other Information and, in doing so, consider whether the Other Information is materially inconsistent with the financial statements or our knowledge obtained during the audit, or otherwise appears to be materially misstated. If, based on the work performed, we conclude that there are material misstatements in Other Information, we are required to report this in our audit report. In accordance with the requirements set forth in the Act on Statutory Auditors, it is also our responsibility to express an opinion on whether the Company’s Management Board Report, to the extent not related to sustainability reporting, has been prepared in accordance with the regulations and is consistent with the information provided in the financial statements.</w:t>
      </w:r>
    </w:p>
    <w:p w14:paraId="281A1AB2" w14:textId="77777777" w:rsidR="005616C8" w:rsidRPr="000B2EEE" w:rsidRDefault="00000000">
      <w:pPr>
        <w:pStyle w:val="Tekstpodstawowy"/>
        <w:spacing w:before="111" w:line="252" w:lineRule="auto"/>
        <w:ind w:left="186" w:right="112" w:hanging="2"/>
        <w:jc w:val="both"/>
      </w:pPr>
      <w:r>
        <w:t>In addition, we are required to express an opinion on whether the Company included the required information in its statement on the application of corporate governance principles.</w:t>
      </w:r>
    </w:p>
    <w:p w14:paraId="0C7EEE64" w14:textId="77777777" w:rsidR="005616C8" w:rsidRPr="000B2EEE" w:rsidRDefault="005616C8">
      <w:pPr>
        <w:pStyle w:val="Tekstpodstawowy"/>
      </w:pPr>
    </w:p>
    <w:p w14:paraId="7C8C2FFE" w14:textId="77777777" w:rsidR="005616C8" w:rsidRPr="000B2EEE" w:rsidRDefault="005616C8">
      <w:pPr>
        <w:pStyle w:val="Tekstpodstawowy"/>
        <w:spacing w:before="58"/>
      </w:pPr>
    </w:p>
    <w:p w14:paraId="291A0FEC" w14:textId="77777777" w:rsidR="005616C8" w:rsidRPr="00F60E1E" w:rsidRDefault="00000000">
      <w:pPr>
        <w:pStyle w:val="Tekstpodstawowy"/>
        <w:ind w:left="177"/>
        <w:rPr>
          <w:b/>
          <w:bCs/>
        </w:rPr>
      </w:pPr>
      <w:r w:rsidRPr="00F60E1E">
        <w:rPr>
          <w:b/>
          <w:bCs/>
        </w:rPr>
        <w:t>Opinion on the Company’s Management Report</w:t>
      </w:r>
    </w:p>
    <w:p w14:paraId="67E192E5" w14:textId="77777777" w:rsidR="005616C8" w:rsidRPr="000B2EEE" w:rsidRDefault="00000000">
      <w:pPr>
        <w:pStyle w:val="Tekstpodstawowy"/>
        <w:spacing w:before="192" w:line="252" w:lineRule="auto"/>
        <w:ind w:left="190" w:right="125" w:hanging="6"/>
        <w:jc w:val="both"/>
      </w:pPr>
      <w:r>
        <w:t>On the basis of the work performed during the audit, in our opinion, the Company’s Management Report:</w:t>
      </w:r>
    </w:p>
    <w:p w14:paraId="53CD43F1" w14:textId="711D1275" w:rsidR="005616C8" w:rsidRPr="000B2EEE" w:rsidRDefault="00000000">
      <w:pPr>
        <w:pStyle w:val="Akapitzlist"/>
        <w:numPr>
          <w:ilvl w:val="0"/>
          <w:numId w:val="1"/>
        </w:numPr>
        <w:tabs>
          <w:tab w:val="left" w:pos="499"/>
          <w:tab w:val="left" w:pos="508"/>
        </w:tabs>
        <w:spacing w:before="121" w:line="252" w:lineRule="auto"/>
        <w:ind w:left="499" w:hanging="323"/>
        <w:rPr>
          <w:sz w:val="18"/>
          <w:szCs w:val="18"/>
        </w:rPr>
      </w:pPr>
      <w:r>
        <w:rPr>
          <w:sz w:val="18"/>
        </w:rPr>
        <w:t>has been prepared in accordance with Article 49 of the Accounting Act and Article 70 of the Regulation of the Minister of Finance of March 29, 2018 on current and periodic information provided by issuers of securities and conditions for recognizing information required by the provisions of law of a non-member state as equivalent (“Regulation on Current Information”),</w:t>
      </w:r>
    </w:p>
    <w:p w14:paraId="04B44BD9" w14:textId="77777777" w:rsidR="005616C8" w:rsidRPr="000B2EEE" w:rsidRDefault="00000000">
      <w:pPr>
        <w:pStyle w:val="Akapitzlist"/>
        <w:numPr>
          <w:ilvl w:val="0"/>
          <w:numId w:val="1"/>
        </w:numPr>
        <w:tabs>
          <w:tab w:val="left" w:pos="509"/>
        </w:tabs>
        <w:spacing w:before="110"/>
        <w:ind w:left="509" w:right="0" w:hanging="333"/>
        <w:jc w:val="left"/>
        <w:rPr>
          <w:sz w:val="18"/>
          <w:szCs w:val="18"/>
        </w:rPr>
      </w:pPr>
      <w:r>
        <w:rPr>
          <w:sz w:val="18"/>
        </w:rPr>
        <w:t>is consistent with the information provided in the financial statements.</w:t>
      </w:r>
    </w:p>
    <w:p w14:paraId="13CE6866" w14:textId="77777777" w:rsidR="005616C8" w:rsidRPr="000B2EEE" w:rsidRDefault="005616C8">
      <w:pPr>
        <w:pStyle w:val="Tekstpodstawowy"/>
      </w:pPr>
    </w:p>
    <w:p w14:paraId="7087DD1B" w14:textId="77777777" w:rsidR="005616C8" w:rsidRPr="000B2EEE" w:rsidRDefault="005616C8">
      <w:pPr>
        <w:pStyle w:val="Tekstpodstawowy"/>
        <w:spacing w:before="68"/>
      </w:pPr>
    </w:p>
    <w:p w14:paraId="273A3CA9" w14:textId="77777777" w:rsidR="005616C8" w:rsidRPr="00F60E1E" w:rsidRDefault="00000000">
      <w:pPr>
        <w:pStyle w:val="Tekstpodstawowy"/>
        <w:spacing w:before="1"/>
        <w:ind w:left="177"/>
        <w:rPr>
          <w:b/>
          <w:bCs/>
        </w:rPr>
      </w:pPr>
      <w:r w:rsidRPr="00F60E1E">
        <w:rPr>
          <w:b/>
          <w:bCs/>
        </w:rPr>
        <w:t>Statement on Other Information</w:t>
      </w:r>
    </w:p>
    <w:p w14:paraId="0035EFF2" w14:textId="77777777" w:rsidR="005616C8" w:rsidRPr="000B2EEE" w:rsidRDefault="00000000">
      <w:pPr>
        <w:pStyle w:val="Tekstpodstawowy"/>
        <w:spacing w:before="191" w:line="252" w:lineRule="auto"/>
        <w:ind w:left="183" w:right="137" w:firstLine="1"/>
        <w:jc w:val="both"/>
      </w:pPr>
      <w:r>
        <w:t>Based on our knowledge of the Company and its environment obtained during our audit, we declare that we have not identified any material misstatements in the Company’s Management Report.</w:t>
      </w:r>
    </w:p>
    <w:p w14:paraId="3042D482" w14:textId="77777777" w:rsidR="005616C8" w:rsidRPr="000B2EEE" w:rsidRDefault="00000000">
      <w:pPr>
        <w:pStyle w:val="Tekstpodstawowy"/>
        <w:spacing w:before="122"/>
        <w:ind w:left="184"/>
      </w:pPr>
      <w:r>
        <w:t>We have nothing to report regarding the remaining Other Information.</w:t>
      </w:r>
    </w:p>
    <w:p w14:paraId="0EDF3E8C" w14:textId="77777777" w:rsidR="005616C8" w:rsidRPr="000B2EEE" w:rsidRDefault="005616C8">
      <w:pPr>
        <w:pStyle w:val="Tekstpodstawowy"/>
      </w:pPr>
    </w:p>
    <w:p w14:paraId="256F2F04" w14:textId="77777777" w:rsidR="005616C8" w:rsidRPr="000B2EEE" w:rsidRDefault="005616C8">
      <w:pPr>
        <w:pStyle w:val="Tekstpodstawowy"/>
        <w:spacing w:before="56"/>
      </w:pPr>
    </w:p>
    <w:p w14:paraId="356B8219" w14:textId="77777777" w:rsidR="005616C8" w:rsidRPr="00F60E1E" w:rsidRDefault="00000000">
      <w:pPr>
        <w:pStyle w:val="Tekstpodstawowy"/>
        <w:ind w:left="177"/>
        <w:rPr>
          <w:b/>
          <w:bCs/>
        </w:rPr>
      </w:pPr>
      <w:r w:rsidRPr="00F60E1E">
        <w:rPr>
          <w:b/>
          <w:bCs/>
        </w:rPr>
        <w:t>Opinion on the statement regarding the application of corporate governance</w:t>
      </w:r>
    </w:p>
    <w:p w14:paraId="786AC428" w14:textId="77777777" w:rsidR="005616C8" w:rsidRPr="000B2EEE" w:rsidRDefault="00000000">
      <w:pPr>
        <w:pStyle w:val="Tekstpodstawowy"/>
        <w:spacing w:before="204" w:line="252" w:lineRule="auto"/>
        <w:ind w:left="180" w:right="118" w:firstLine="4"/>
        <w:jc w:val="both"/>
      </w:pPr>
      <w:r>
        <w:t>In our opinion, the Company has included the information specified in Article 70(6)(5) of the Regulation on Current Information in its statement regarding the application of corporate governance.</w:t>
      </w:r>
    </w:p>
    <w:p w14:paraId="32F432E2" w14:textId="77777777" w:rsidR="005616C8" w:rsidRPr="000B2EEE" w:rsidRDefault="00000000">
      <w:pPr>
        <w:pStyle w:val="Tekstpodstawowy"/>
        <w:spacing w:before="109" w:line="252" w:lineRule="auto"/>
        <w:ind w:left="183" w:right="107" w:firstLine="1"/>
        <w:jc w:val="both"/>
      </w:pPr>
      <w:r>
        <w:t>Furthermore, in our opinion, the information specified in Article 70(6)(5)(c)-(f), (h), and (i) of the Regulation, provided in the statement on the application of corporate governance, is consistent with the applicable regulations and the information provided in the financial statements.</w:t>
      </w:r>
    </w:p>
    <w:p w14:paraId="5D50E7C9" w14:textId="77777777" w:rsidR="005616C8" w:rsidRPr="000B2EEE" w:rsidRDefault="005616C8">
      <w:pPr>
        <w:pStyle w:val="Tekstpodstawowy"/>
      </w:pPr>
    </w:p>
    <w:p w14:paraId="03D8E224" w14:textId="77777777" w:rsidR="005616C8" w:rsidRPr="000B2EEE" w:rsidRDefault="005616C8">
      <w:pPr>
        <w:pStyle w:val="Tekstpodstawowy"/>
        <w:spacing w:before="46"/>
      </w:pPr>
    </w:p>
    <w:p w14:paraId="32682392" w14:textId="77777777" w:rsidR="005616C8" w:rsidRPr="00F60E1E" w:rsidRDefault="00000000">
      <w:pPr>
        <w:pStyle w:val="Tekstpodstawowy"/>
        <w:ind w:left="177"/>
        <w:rPr>
          <w:b/>
          <w:bCs/>
        </w:rPr>
      </w:pPr>
      <w:r w:rsidRPr="00F60E1E">
        <w:rPr>
          <w:b/>
          <w:bCs/>
        </w:rPr>
        <w:t>Statement on services provided other than the audit of financial statements</w:t>
      </w:r>
    </w:p>
    <w:p w14:paraId="60295D1F" w14:textId="77777777" w:rsidR="005616C8" w:rsidRPr="000B2EEE" w:rsidRDefault="00000000">
      <w:pPr>
        <w:pStyle w:val="Tekstpodstawowy"/>
        <w:spacing w:before="204" w:line="252" w:lineRule="auto"/>
        <w:ind w:left="183" w:right="115" w:hanging="1"/>
        <w:jc w:val="both"/>
      </w:pPr>
      <w:r>
        <w:t>To the best of our knowledge and belief, we declare that the services we have provided to the Company and its subsidiaries comply with the laws and regulations in force in Poland and that no services other than the audit of financial statements, which are prohibited under Article 5(1) of the EU Regulation and Article 136 of the Act on Statutory Auditors, have been provided.  Services other than the audit of financial statements that we have provided to the Company and its subsidiaries during the reporting period are listed in the Company’s Management Board Report.</w:t>
      </w:r>
    </w:p>
    <w:p w14:paraId="2DE65A3C" w14:textId="77777777" w:rsidR="005616C8" w:rsidRPr="000B2EEE" w:rsidRDefault="005616C8">
      <w:pPr>
        <w:spacing w:line="252" w:lineRule="auto"/>
        <w:jc w:val="both"/>
        <w:rPr>
          <w:sz w:val="18"/>
          <w:szCs w:val="18"/>
        </w:rPr>
        <w:sectPr w:rsidR="005616C8" w:rsidRPr="000B2EEE">
          <w:pgSz w:w="11900" w:h="16840"/>
          <w:pgMar w:top="1960" w:right="1680" w:bottom="1760" w:left="1680" w:header="1043" w:footer="1580" w:gutter="0"/>
          <w:cols w:space="708"/>
        </w:sectPr>
      </w:pPr>
    </w:p>
    <w:p w14:paraId="6ED474D3" w14:textId="77777777" w:rsidR="005616C8" w:rsidRDefault="005616C8">
      <w:pPr>
        <w:pStyle w:val="Tekstpodstawowy"/>
        <w:rPr>
          <w:b/>
        </w:rPr>
      </w:pPr>
    </w:p>
    <w:p w14:paraId="2B443DDE" w14:textId="77777777" w:rsidR="00F60E1E" w:rsidRPr="000B2EEE" w:rsidRDefault="00F60E1E">
      <w:pPr>
        <w:pStyle w:val="Tekstpodstawowy"/>
        <w:rPr>
          <w:b/>
        </w:rPr>
      </w:pPr>
    </w:p>
    <w:p w14:paraId="6792C540" w14:textId="77777777" w:rsidR="005616C8" w:rsidRPr="000B2EEE" w:rsidRDefault="005616C8">
      <w:pPr>
        <w:pStyle w:val="Tekstpodstawowy"/>
        <w:spacing w:before="155"/>
        <w:rPr>
          <w:b/>
        </w:rPr>
      </w:pPr>
    </w:p>
    <w:p w14:paraId="04A6192C" w14:textId="77777777" w:rsidR="005616C8" w:rsidRPr="000B2EEE" w:rsidRDefault="00000000">
      <w:pPr>
        <w:pStyle w:val="Tekstpodstawowy"/>
        <w:ind w:left="196"/>
      </w:pPr>
      <w:r>
        <w:t>Appointment of audit company</w:t>
      </w:r>
    </w:p>
    <w:p w14:paraId="73205631" w14:textId="77777777" w:rsidR="005616C8" w:rsidRPr="000B2EEE" w:rsidRDefault="005616C8">
      <w:pPr>
        <w:pStyle w:val="Tekstpodstawowy"/>
        <w:spacing w:before="46"/>
      </w:pPr>
    </w:p>
    <w:p w14:paraId="3A979242" w14:textId="77777777" w:rsidR="005616C8" w:rsidRPr="000B2EEE" w:rsidRDefault="00000000">
      <w:pPr>
        <w:pStyle w:val="Tekstpodstawowy"/>
        <w:spacing w:line="252" w:lineRule="auto"/>
        <w:ind w:left="181" w:right="116" w:firstLine="1"/>
        <w:jc w:val="both"/>
      </w:pPr>
      <w:r>
        <w:t>We were appointed to audit the statutory financial statements of the Company for the first time by way of a resolution of the Company’s Supervisory Board dated 21 June 2021, and subsequently by way of resolutions dated 6 July 2022 and 3 August 2023, with respect to the financial statements of the Company for the year ended 31 December 2024. We have been auditing the Company’s financial statements continuously since the financial year ended 31 December 2021, i.e. for a period of four consecutive years.</w:t>
      </w:r>
    </w:p>
    <w:p w14:paraId="63D2BC93" w14:textId="77777777" w:rsidR="005616C8" w:rsidRPr="000B2EEE" w:rsidRDefault="005616C8">
      <w:pPr>
        <w:pStyle w:val="Tekstpodstawowy"/>
      </w:pPr>
    </w:p>
    <w:p w14:paraId="26994200" w14:textId="77777777" w:rsidR="005616C8" w:rsidRPr="000B2EEE" w:rsidRDefault="005616C8">
      <w:pPr>
        <w:pStyle w:val="Tekstpodstawowy"/>
      </w:pPr>
    </w:p>
    <w:p w14:paraId="6085B15F" w14:textId="77777777" w:rsidR="005616C8" w:rsidRPr="000B2EEE" w:rsidRDefault="005616C8">
      <w:pPr>
        <w:pStyle w:val="Tekstpodstawowy"/>
      </w:pPr>
    </w:p>
    <w:p w14:paraId="03F26C45" w14:textId="77777777" w:rsidR="005616C8" w:rsidRPr="000B2EEE" w:rsidRDefault="005616C8">
      <w:pPr>
        <w:pStyle w:val="Tekstpodstawowy"/>
      </w:pPr>
    </w:p>
    <w:p w14:paraId="063055FB" w14:textId="77777777" w:rsidR="005616C8" w:rsidRPr="000B2EEE" w:rsidRDefault="005616C8">
      <w:pPr>
        <w:pStyle w:val="Tekstpodstawowy"/>
        <w:spacing w:before="54"/>
      </w:pPr>
    </w:p>
    <w:p w14:paraId="075F3988" w14:textId="77777777" w:rsidR="005616C8" w:rsidRPr="000B2EEE" w:rsidRDefault="00000000">
      <w:pPr>
        <w:pStyle w:val="Tekstpodstawowy"/>
        <w:ind w:left="185"/>
      </w:pPr>
      <w:r>
        <w:t>Key Statutory Auditor</w:t>
      </w:r>
    </w:p>
    <w:p w14:paraId="6B2EC47C" w14:textId="209DD143" w:rsidR="005616C8" w:rsidRPr="000B2EEE" w:rsidRDefault="005616C8">
      <w:pPr>
        <w:pStyle w:val="Tekstpodstawowy"/>
        <w:spacing w:before="107"/>
      </w:pPr>
    </w:p>
    <w:p w14:paraId="7C34BE15" w14:textId="77777777" w:rsidR="005616C8" w:rsidRPr="000B2EEE" w:rsidRDefault="005616C8">
      <w:pPr>
        <w:pStyle w:val="Tekstpodstawowy"/>
        <w:spacing w:before="141"/>
      </w:pPr>
    </w:p>
    <w:p w14:paraId="0E6D2158" w14:textId="77777777" w:rsidR="005616C8" w:rsidRPr="000B2EEE" w:rsidRDefault="00000000">
      <w:pPr>
        <w:pStyle w:val="Tekstpodstawowy"/>
        <w:spacing w:before="1"/>
        <w:ind w:left="186" w:right="6784" w:hanging="2"/>
      </w:pPr>
      <w:r>
        <w:t>Marcin Zieliński Statutory Auditor</w:t>
      </w:r>
    </w:p>
    <w:p w14:paraId="0BA4EE3C" w14:textId="77777777" w:rsidR="005616C8" w:rsidRPr="000B2EEE" w:rsidRDefault="00000000">
      <w:pPr>
        <w:pStyle w:val="Tekstpodstawowy"/>
        <w:spacing w:before="9"/>
        <w:ind w:left="186"/>
      </w:pPr>
      <w:r>
        <w:t>No. in registry: 10402</w:t>
      </w:r>
    </w:p>
    <w:p w14:paraId="51542F4A" w14:textId="77777777" w:rsidR="005616C8" w:rsidRPr="000B2EEE" w:rsidRDefault="005616C8">
      <w:pPr>
        <w:pStyle w:val="Tekstpodstawowy"/>
      </w:pPr>
    </w:p>
    <w:p w14:paraId="25A70C44" w14:textId="77777777" w:rsidR="005616C8" w:rsidRPr="000B2EEE" w:rsidRDefault="005616C8">
      <w:pPr>
        <w:pStyle w:val="Tekstpodstawowy"/>
      </w:pPr>
    </w:p>
    <w:p w14:paraId="148E5324" w14:textId="77777777" w:rsidR="005616C8" w:rsidRPr="000B2EEE" w:rsidRDefault="005616C8">
      <w:pPr>
        <w:pStyle w:val="Tekstpodstawowy"/>
        <w:spacing w:before="151"/>
      </w:pPr>
    </w:p>
    <w:p w14:paraId="331835AA" w14:textId="77777777" w:rsidR="005616C8" w:rsidRPr="000B2EEE" w:rsidRDefault="00000000">
      <w:pPr>
        <w:pStyle w:val="Tekstpodstawowy"/>
        <w:ind w:left="180"/>
      </w:pPr>
      <w:r>
        <w:t>acting on behalf:</w:t>
      </w:r>
    </w:p>
    <w:p w14:paraId="2F6DAFCD" w14:textId="026087F1" w:rsidR="005616C8" w:rsidRPr="00F60E1E" w:rsidRDefault="00000000" w:rsidP="007F68F0">
      <w:pPr>
        <w:pStyle w:val="Tekstpodstawowy"/>
        <w:spacing w:before="119"/>
        <w:ind w:left="184"/>
        <w:rPr>
          <w:lang w:val="pl-PL"/>
        </w:rPr>
      </w:pPr>
      <w:r w:rsidRPr="00F60E1E">
        <w:rPr>
          <w:lang w:val="pl-PL"/>
        </w:rPr>
        <w:t>Ernst &amp; Young Audyt Polska spółka</w:t>
      </w:r>
      <w:r w:rsidRPr="00F60E1E">
        <w:rPr>
          <w:lang w:val="pl-PL"/>
        </w:rPr>
        <w:br/>
        <w:t>z ograniczoną odpowiedzialnością sp. k.</w:t>
      </w:r>
    </w:p>
    <w:p w14:paraId="1DFE0E9C" w14:textId="446FCE6C" w:rsidR="005616C8" w:rsidRPr="000B2EEE" w:rsidRDefault="00000000" w:rsidP="00F60E1E">
      <w:pPr>
        <w:pStyle w:val="Tekstpodstawowy"/>
        <w:spacing w:before="119" w:line="252" w:lineRule="auto"/>
        <w:ind w:left="186" w:right="4287" w:hanging="3"/>
      </w:pPr>
      <w:r>
        <w:t>Rondo ONZ 1, 00-124 Warsaw</w:t>
      </w:r>
      <w:r w:rsidR="00F60E1E">
        <w:br/>
      </w:r>
      <w:r>
        <w:t>Registration number on the list of audit firms: 130</w:t>
      </w:r>
    </w:p>
    <w:p w14:paraId="368346EC" w14:textId="77777777" w:rsidR="005616C8" w:rsidRPr="000B2EEE" w:rsidRDefault="005616C8">
      <w:pPr>
        <w:pStyle w:val="Tekstpodstawowy"/>
      </w:pPr>
    </w:p>
    <w:p w14:paraId="654493D0" w14:textId="77777777" w:rsidR="005616C8" w:rsidRPr="000B2EEE" w:rsidRDefault="005616C8">
      <w:pPr>
        <w:pStyle w:val="Tekstpodstawowy"/>
      </w:pPr>
    </w:p>
    <w:p w14:paraId="12E788BA" w14:textId="77777777" w:rsidR="005616C8" w:rsidRPr="000B2EEE" w:rsidRDefault="005616C8">
      <w:pPr>
        <w:pStyle w:val="Tekstpodstawowy"/>
      </w:pPr>
    </w:p>
    <w:p w14:paraId="57750C34" w14:textId="77777777" w:rsidR="005616C8" w:rsidRPr="000B2EEE" w:rsidRDefault="005616C8">
      <w:pPr>
        <w:pStyle w:val="Tekstpodstawowy"/>
      </w:pPr>
    </w:p>
    <w:p w14:paraId="40620F6A" w14:textId="77777777" w:rsidR="005616C8" w:rsidRPr="000B2EEE" w:rsidRDefault="005616C8">
      <w:pPr>
        <w:pStyle w:val="Tekstpodstawowy"/>
        <w:spacing w:before="54"/>
      </w:pPr>
    </w:p>
    <w:p w14:paraId="0CF63E43" w14:textId="0359F8EF" w:rsidR="005616C8" w:rsidRPr="000B2EEE" w:rsidRDefault="00000000">
      <w:pPr>
        <w:pStyle w:val="Tekstpodstawowy"/>
        <w:ind w:left="184"/>
      </w:pPr>
      <w:r>
        <w:t>Warsaw, April 30, 2025</w:t>
      </w:r>
    </w:p>
    <w:sectPr w:rsidR="005616C8" w:rsidRPr="000B2EEE">
      <w:pgSz w:w="11900" w:h="16840"/>
      <w:pgMar w:top="1960" w:right="1680" w:bottom="1760" w:left="1680" w:header="1043" w:footer="15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C004B" w14:textId="77777777" w:rsidR="00444BCB" w:rsidRDefault="00444BCB">
      <w:r>
        <w:separator/>
      </w:r>
    </w:p>
  </w:endnote>
  <w:endnote w:type="continuationSeparator" w:id="0">
    <w:p w14:paraId="4B388523" w14:textId="77777777" w:rsidR="00444BCB" w:rsidRDefault="00444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altName w:val="Times New Roman P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5819E" w14:textId="77777777" w:rsidR="005616C8" w:rsidRDefault="00000000">
    <w:pPr>
      <w:pStyle w:val="Tekstpodstawowy"/>
      <w:spacing w:line="14" w:lineRule="auto"/>
      <w:rPr>
        <w:sz w:val="20"/>
      </w:rPr>
    </w:pPr>
    <w:r>
      <w:rPr>
        <w:noProof/>
      </w:rPr>
      <mc:AlternateContent>
        <mc:Choice Requires="wps">
          <w:drawing>
            <wp:anchor distT="0" distB="0" distL="0" distR="0" simplePos="0" relativeHeight="251655168" behindDoc="1" locked="0" layoutInCell="1" allowOverlap="1" wp14:anchorId="656D26F8" wp14:editId="277CF5E6">
              <wp:simplePos x="0" y="0"/>
              <wp:positionH relativeFrom="page">
                <wp:posOffset>6301045</wp:posOffset>
              </wp:positionH>
              <wp:positionV relativeFrom="page">
                <wp:posOffset>9543698</wp:posOffset>
              </wp:positionV>
              <wp:extent cx="153670" cy="16129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61290"/>
                      </a:xfrm>
                      <a:prstGeom prst="rect">
                        <a:avLst/>
                      </a:prstGeom>
                    </wps:spPr>
                    <wps:txbx>
                      <w:txbxContent>
                        <w:p w14:paraId="28874CEC" w14:textId="77777777" w:rsidR="005616C8" w:rsidRDefault="00000000">
                          <w:pPr>
                            <w:pStyle w:val="Tekstpodstawowy"/>
                            <w:spacing w:before="24"/>
                            <w:ind w:left="57"/>
                          </w:pPr>
                          <w:r>
                            <w:rPr>
                              <w:color w:val="565656"/>
                            </w:rPr>
                            <w:fldChar w:fldCharType="begin"/>
                          </w:r>
                          <w:r>
                            <w:rPr>
                              <w:color w:val="565656"/>
                            </w:rPr>
                            <w:instrText xml:space="preserve"> PAGE </w:instrText>
                          </w:r>
                          <w:r>
                            <w:rPr>
                              <w:color w:val="565656"/>
                            </w:rPr>
                            <w:fldChar w:fldCharType="separate"/>
                          </w:r>
                          <w:r>
                            <w:rPr>
                              <w:color w:val="565656"/>
                            </w:rPr>
                            <w:t>3</w:t>
                          </w:r>
                          <w:r>
                            <w:rPr>
                              <w:color w:val="565656"/>
                            </w:rPr>
                            <w:fldChar w:fldCharType="end"/>
                          </w:r>
                        </w:p>
                      </w:txbxContent>
                    </wps:txbx>
                    <wps:bodyPr wrap="square" lIns="0" tIns="0" rIns="0" bIns="0" rtlCol="0">
                      <a:noAutofit/>
                    </wps:bodyPr>
                  </wps:wsp>
                </a:graphicData>
              </a:graphic>
            </wp:anchor>
          </w:drawing>
        </mc:Choice>
        <mc:Fallback>
          <w:pict>
            <v:shapetype w14:anchorId="656D26F8" id="_x0000_t202" coordsize="21600,21600" o:spt="202" path="m,l,21600r21600,l21600,xe">
              <v:stroke joinstyle="miter"/>
              <v:path gradientshapeok="t" o:connecttype="rect"/>
            </v:shapetype>
            <v:shape id="Textbox 3" o:spid="_x0000_s1026" type="#_x0000_t202" style="position:absolute;margin-left:496.15pt;margin-top:751.45pt;width:12.1pt;height:12.7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" filled="f" stroked="f">
              <v:textbox inset="0,0,0,0">
                <w:txbxContent>
                  <w:p w14:paraId="28874CEC" w14:textId="77777777" w:rsidR="005616C8" w:rsidRDefault="00000000">
                    <w:pPr>
                      <w:pStyle w:val="Tekstpodstawowy"/>
                      <w:spacing w:before="24"/>
                      <w:ind w:left="57"/>
                    </w:pPr>
                    <w:r>
                      <w:rPr>
                        <w:color w:val="565656"/>
                      </w:rPr>
                      <w:fldChar w:fldCharType="begin"/>
                    </w:r>
                    <w:r>
                      <w:rPr>
                        <w:color w:val="565656"/>
                      </w:rPr>
                      <w:instrText xml:space="preserve"> PAGE </w:instrText>
                    </w:r>
                    <w:r>
                      <w:rPr>
                        <w:color w:val="565656"/>
                      </w:rPr>
                      <w:fldChar w:fldCharType="separate"/>
                    </w:r>
                    <w:r>
                      <w:rPr>
                        <w:color w:val="565656"/>
                      </w:rPr>
                      <w:t>3</w:t>
                    </w:r>
                    <w:r>
                      <w:rPr>
                        <w:color w:val="56565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8C7A0" w14:textId="77777777" w:rsidR="005616C8" w:rsidRDefault="00000000">
    <w:pPr>
      <w:pStyle w:val="Tekstpodstawowy"/>
      <w:spacing w:line="14" w:lineRule="auto"/>
      <w:rPr>
        <w:sz w:val="20"/>
      </w:rPr>
    </w:pPr>
    <w:r>
      <w:rPr>
        <w:noProof/>
      </w:rPr>
      <mc:AlternateContent>
        <mc:Choice Requires="wps">
          <w:drawing>
            <wp:anchor distT="0" distB="0" distL="0" distR="0" simplePos="0" relativeHeight="251661312" behindDoc="1" locked="0" layoutInCell="1" allowOverlap="1" wp14:anchorId="238BB040" wp14:editId="40F552EE">
              <wp:simplePos x="0" y="0"/>
              <wp:positionH relativeFrom="page">
                <wp:posOffset>6303187</wp:posOffset>
              </wp:positionH>
              <wp:positionV relativeFrom="page">
                <wp:posOffset>9547606</wp:posOffset>
              </wp:positionV>
              <wp:extent cx="159385" cy="15621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56210"/>
                      </a:xfrm>
                      <a:prstGeom prst="rect">
                        <a:avLst/>
                      </a:prstGeom>
                    </wps:spPr>
                    <wps:txbx>
                      <w:txbxContent>
                        <w:p w14:paraId="25A344CA" w14:textId="77777777" w:rsidR="005616C8" w:rsidRDefault="00000000">
                          <w:pPr>
                            <w:pStyle w:val="Tekstpodstawowy"/>
                            <w:spacing w:before="18"/>
                            <w:ind w:left="66"/>
                          </w:pPr>
                          <w:r>
                            <w:rPr>
                              <w:color w:val="565656"/>
                            </w:rPr>
                            <w:fldChar w:fldCharType="begin"/>
                          </w:r>
                          <w:r>
                            <w:rPr>
                              <w:color w:val="565656"/>
                            </w:rPr>
                            <w:instrText xml:space="preserve"> PAGE </w:instrText>
                          </w:r>
                          <w:r>
                            <w:rPr>
                              <w:color w:val="565656"/>
                            </w:rPr>
                            <w:fldChar w:fldCharType="separate"/>
                          </w:r>
                          <w:r>
                            <w:rPr>
                              <w:color w:val="565656"/>
                            </w:rPr>
                            <w:t>5</w:t>
                          </w:r>
                          <w:r>
                            <w:rPr>
                              <w:color w:val="565656"/>
                            </w:rPr>
                            <w:fldChar w:fldCharType="end"/>
                          </w:r>
                        </w:p>
                      </w:txbxContent>
                    </wps:txbx>
                    <wps:bodyPr wrap="square" lIns="0" tIns="0" rIns="0" bIns="0" rtlCol="0">
                      <a:noAutofit/>
                    </wps:bodyPr>
                  </wps:wsp>
                </a:graphicData>
              </a:graphic>
            </wp:anchor>
          </w:drawing>
        </mc:Choice>
        <mc:Fallback>
          <w:pict>
            <v:shapetype w14:anchorId="238BB040" id="_x0000_t202" coordsize="21600,21600" o:spt="202" path="m,l,21600r21600,l21600,xe">
              <v:stroke joinstyle="miter"/>
              <v:path gradientshapeok="t" o:connecttype="rect"/>
            </v:shapetype>
            <v:shape id="Textbox 8" o:spid="_x0000_s1027" type="#_x0000_t202" style="position:absolute;margin-left:496.3pt;margin-top:751.8pt;width:12.55pt;height:12.3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" filled="f" stroked="f">
              <v:textbox inset="0,0,0,0">
                <w:txbxContent>
                  <w:p w14:paraId="25A344CA" w14:textId="77777777" w:rsidR="005616C8" w:rsidRDefault="00000000">
                    <w:pPr>
                      <w:pStyle w:val="Tekstpodstawowy"/>
                      <w:spacing w:before="18"/>
                      <w:ind w:left="66"/>
                    </w:pPr>
                    <w:r>
                      <w:rPr>
                        <w:color w:val="565656"/>
                      </w:rPr>
                      <w:fldChar w:fldCharType="begin"/>
                    </w:r>
                    <w:r>
                      <w:rPr>
                        <w:color w:val="565656"/>
                      </w:rPr>
                      <w:instrText xml:space="preserve"> PAGE </w:instrText>
                    </w:r>
                    <w:r>
                      <w:rPr>
                        <w:color w:val="565656"/>
                      </w:rPr>
                      <w:fldChar w:fldCharType="separate"/>
                    </w:r>
                    <w:r>
                      <w:rPr>
                        <w:color w:val="565656"/>
                      </w:rPr>
                      <w:t>5</w:t>
                    </w:r>
                    <w:r>
                      <w:rPr>
                        <w:color w:val="56565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25270" w14:textId="77777777" w:rsidR="00444BCB" w:rsidRDefault="00444BCB">
      <w:r>
        <w:separator/>
      </w:r>
    </w:p>
  </w:footnote>
  <w:footnote w:type="continuationSeparator" w:id="0">
    <w:p w14:paraId="775948E6" w14:textId="77777777" w:rsidR="00444BCB" w:rsidRDefault="00444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4281" w14:textId="6A607B3A" w:rsidR="005616C8" w:rsidRDefault="005616C8">
    <w:pPr>
      <w:pStyle w:val="Tekstpodstawowy"/>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59DF0" w14:textId="7889D4FE" w:rsidR="005616C8" w:rsidRDefault="00F60E1E">
    <w:pPr>
      <w:pStyle w:val="Tekstpodstawowy"/>
      <w:spacing w:line="14" w:lineRule="auto"/>
      <w:rPr>
        <w:sz w:val="20"/>
      </w:rPr>
    </w:pPr>
    <w:r w:rsidRPr="00F60E1E">
      <w:rPr>
        <w:noProof/>
        <w:sz w:val="17"/>
      </w:rPr>
      <w:drawing>
        <wp:anchor distT="0" distB="0" distL="114300" distR="114300" simplePos="0" relativeHeight="251664896" behindDoc="0" locked="0" layoutInCell="1" allowOverlap="1" wp14:anchorId="5ABD0DE1" wp14:editId="3CAB18CE">
          <wp:simplePos x="0" y="0"/>
          <wp:positionH relativeFrom="column">
            <wp:posOffset>0</wp:posOffset>
          </wp:positionH>
          <wp:positionV relativeFrom="paragraph">
            <wp:posOffset>-469762</wp:posOffset>
          </wp:positionV>
          <wp:extent cx="965200" cy="1047750"/>
          <wp:effectExtent l="0" t="0" r="6350" b="0"/>
          <wp:wrapNone/>
          <wp:docPr id="1318155626" name="Obraz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37178" name="Obraz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965200" cy="10477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56333"/>
    <w:multiLevelType w:val="hybridMultilevel"/>
    <w:tmpl w:val="E8C8EF10"/>
    <w:lvl w:ilvl="0" w:tplc="FF420AE2">
      <w:numFmt w:val="bullet"/>
      <w:lvlText w:val="•"/>
      <w:lvlJc w:val="left"/>
      <w:pPr>
        <w:ind w:left="506" w:hanging="325"/>
      </w:pPr>
      <w:rPr>
        <w:rFonts w:ascii="Arial" w:eastAsia="Arial" w:hAnsi="Arial" w:cs="Arial" w:hint="default"/>
        <w:b w:val="0"/>
        <w:bCs w:val="0"/>
        <w:i w:val="0"/>
        <w:iCs w:val="0"/>
        <w:color w:val="050505"/>
        <w:spacing w:val="0"/>
        <w:w w:val="105"/>
        <w:sz w:val="18"/>
        <w:szCs w:val="18"/>
        <w:lang w:val="pl-PL" w:eastAsia="en-US" w:bidi="ar-SA"/>
      </w:rPr>
    </w:lvl>
    <w:lvl w:ilvl="1" w:tplc="BFAA8316">
      <w:numFmt w:val="bullet"/>
      <w:lvlText w:val="•"/>
      <w:lvlJc w:val="left"/>
      <w:pPr>
        <w:ind w:left="1303" w:hanging="325"/>
      </w:pPr>
      <w:rPr>
        <w:rFonts w:hint="default"/>
        <w:lang w:val="pl-PL" w:eastAsia="en-US" w:bidi="ar-SA"/>
      </w:rPr>
    </w:lvl>
    <w:lvl w:ilvl="2" w:tplc="4B9050BE">
      <w:numFmt w:val="bullet"/>
      <w:lvlText w:val="•"/>
      <w:lvlJc w:val="left"/>
      <w:pPr>
        <w:ind w:left="2107" w:hanging="325"/>
      </w:pPr>
      <w:rPr>
        <w:rFonts w:hint="default"/>
        <w:lang w:val="pl-PL" w:eastAsia="en-US" w:bidi="ar-SA"/>
      </w:rPr>
    </w:lvl>
    <w:lvl w:ilvl="3" w:tplc="EB802F2E">
      <w:numFmt w:val="bullet"/>
      <w:lvlText w:val="•"/>
      <w:lvlJc w:val="left"/>
      <w:pPr>
        <w:ind w:left="2911" w:hanging="325"/>
      </w:pPr>
      <w:rPr>
        <w:rFonts w:hint="default"/>
        <w:lang w:val="pl-PL" w:eastAsia="en-US" w:bidi="ar-SA"/>
      </w:rPr>
    </w:lvl>
    <w:lvl w:ilvl="4" w:tplc="6A5E2804">
      <w:numFmt w:val="bullet"/>
      <w:lvlText w:val="•"/>
      <w:lvlJc w:val="left"/>
      <w:pPr>
        <w:ind w:left="3715" w:hanging="325"/>
      </w:pPr>
      <w:rPr>
        <w:rFonts w:hint="default"/>
        <w:lang w:val="pl-PL" w:eastAsia="en-US" w:bidi="ar-SA"/>
      </w:rPr>
    </w:lvl>
    <w:lvl w:ilvl="5" w:tplc="7688B714">
      <w:numFmt w:val="bullet"/>
      <w:lvlText w:val="•"/>
      <w:lvlJc w:val="left"/>
      <w:pPr>
        <w:ind w:left="4519" w:hanging="325"/>
      </w:pPr>
      <w:rPr>
        <w:rFonts w:hint="default"/>
        <w:lang w:val="pl-PL" w:eastAsia="en-US" w:bidi="ar-SA"/>
      </w:rPr>
    </w:lvl>
    <w:lvl w:ilvl="6" w:tplc="155A755A">
      <w:numFmt w:val="bullet"/>
      <w:lvlText w:val="•"/>
      <w:lvlJc w:val="left"/>
      <w:pPr>
        <w:ind w:left="5323" w:hanging="325"/>
      </w:pPr>
      <w:rPr>
        <w:rFonts w:hint="default"/>
        <w:lang w:val="pl-PL" w:eastAsia="en-US" w:bidi="ar-SA"/>
      </w:rPr>
    </w:lvl>
    <w:lvl w:ilvl="7" w:tplc="8B72F9C8">
      <w:numFmt w:val="bullet"/>
      <w:lvlText w:val="•"/>
      <w:lvlJc w:val="left"/>
      <w:pPr>
        <w:ind w:left="6127" w:hanging="325"/>
      </w:pPr>
      <w:rPr>
        <w:rFonts w:hint="default"/>
        <w:lang w:val="pl-PL" w:eastAsia="en-US" w:bidi="ar-SA"/>
      </w:rPr>
    </w:lvl>
    <w:lvl w:ilvl="8" w:tplc="324C112C">
      <w:numFmt w:val="bullet"/>
      <w:lvlText w:val="•"/>
      <w:lvlJc w:val="left"/>
      <w:pPr>
        <w:ind w:left="6931" w:hanging="325"/>
      </w:pPr>
      <w:rPr>
        <w:rFonts w:hint="default"/>
        <w:lang w:val="pl-PL" w:eastAsia="en-US" w:bidi="ar-SA"/>
      </w:rPr>
    </w:lvl>
  </w:abstractNum>
  <w:abstractNum w:abstractNumId="1" w15:restartNumberingAfterBreak="0">
    <w:nsid w:val="191C6C4B"/>
    <w:multiLevelType w:val="hybridMultilevel"/>
    <w:tmpl w:val="81F07C5E"/>
    <w:lvl w:ilvl="0" w:tplc="8D28DC06">
      <w:numFmt w:val="bullet"/>
      <w:lvlText w:val="•"/>
      <w:lvlJc w:val="left"/>
      <w:pPr>
        <w:ind w:left="429" w:hanging="337"/>
      </w:pPr>
      <w:rPr>
        <w:rFonts w:ascii="Arial" w:eastAsia="Arial" w:hAnsi="Arial" w:cs="Arial" w:hint="default"/>
        <w:b w:val="0"/>
        <w:bCs w:val="0"/>
        <w:i w:val="0"/>
        <w:iCs w:val="0"/>
        <w:spacing w:val="0"/>
        <w:w w:val="104"/>
        <w:position w:val="-3"/>
        <w:sz w:val="24"/>
        <w:szCs w:val="24"/>
        <w:lang w:val="pl-PL" w:eastAsia="en-US" w:bidi="ar-SA"/>
      </w:rPr>
    </w:lvl>
    <w:lvl w:ilvl="1" w:tplc="6D1AF074">
      <w:numFmt w:val="bullet"/>
      <w:lvlText w:val="•"/>
      <w:lvlJc w:val="left"/>
      <w:pPr>
        <w:ind w:left="790" w:hanging="337"/>
      </w:pPr>
      <w:rPr>
        <w:rFonts w:hint="default"/>
        <w:lang w:val="pl-PL" w:eastAsia="en-US" w:bidi="ar-SA"/>
      </w:rPr>
    </w:lvl>
    <w:lvl w:ilvl="2" w:tplc="48680AB8">
      <w:numFmt w:val="bullet"/>
      <w:lvlText w:val="•"/>
      <w:lvlJc w:val="left"/>
      <w:pPr>
        <w:ind w:left="1160" w:hanging="337"/>
      </w:pPr>
      <w:rPr>
        <w:rFonts w:hint="default"/>
        <w:lang w:val="pl-PL" w:eastAsia="en-US" w:bidi="ar-SA"/>
      </w:rPr>
    </w:lvl>
    <w:lvl w:ilvl="3" w:tplc="7FC65658">
      <w:numFmt w:val="bullet"/>
      <w:lvlText w:val="•"/>
      <w:lvlJc w:val="left"/>
      <w:pPr>
        <w:ind w:left="1530" w:hanging="337"/>
      </w:pPr>
      <w:rPr>
        <w:rFonts w:hint="default"/>
        <w:lang w:val="pl-PL" w:eastAsia="en-US" w:bidi="ar-SA"/>
      </w:rPr>
    </w:lvl>
    <w:lvl w:ilvl="4" w:tplc="E980878A">
      <w:numFmt w:val="bullet"/>
      <w:lvlText w:val="•"/>
      <w:lvlJc w:val="left"/>
      <w:pPr>
        <w:ind w:left="1900" w:hanging="337"/>
      </w:pPr>
      <w:rPr>
        <w:rFonts w:hint="default"/>
        <w:lang w:val="pl-PL" w:eastAsia="en-US" w:bidi="ar-SA"/>
      </w:rPr>
    </w:lvl>
    <w:lvl w:ilvl="5" w:tplc="4DEE218E">
      <w:numFmt w:val="bullet"/>
      <w:lvlText w:val="•"/>
      <w:lvlJc w:val="left"/>
      <w:pPr>
        <w:ind w:left="2271" w:hanging="337"/>
      </w:pPr>
      <w:rPr>
        <w:rFonts w:hint="default"/>
        <w:lang w:val="pl-PL" w:eastAsia="en-US" w:bidi="ar-SA"/>
      </w:rPr>
    </w:lvl>
    <w:lvl w:ilvl="6" w:tplc="8A58C86A">
      <w:numFmt w:val="bullet"/>
      <w:lvlText w:val="•"/>
      <w:lvlJc w:val="left"/>
      <w:pPr>
        <w:ind w:left="2641" w:hanging="337"/>
      </w:pPr>
      <w:rPr>
        <w:rFonts w:hint="default"/>
        <w:lang w:val="pl-PL" w:eastAsia="en-US" w:bidi="ar-SA"/>
      </w:rPr>
    </w:lvl>
    <w:lvl w:ilvl="7" w:tplc="0EEAA45E">
      <w:numFmt w:val="bullet"/>
      <w:lvlText w:val="•"/>
      <w:lvlJc w:val="left"/>
      <w:pPr>
        <w:ind w:left="3011" w:hanging="337"/>
      </w:pPr>
      <w:rPr>
        <w:rFonts w:hint="default"/>
        <w:lang w:val="pl-PL" w:eastAsia="en-US" w:bidi="ar-SA"/>
      </w:rPr>
    </w:lvl>
    <w:lvl w:ilvl="8" w:tplc="2222CB28">
      <w:numFmt w:val="bullet"/>
      <w:lvlText w:val="•"/>
      <w:lvlJc w:val="left"/>
      <w:pPr>
        <w:ind w:left="3381" w:hanging="337"/>
      </w:pPr>
      <w:rPr>
        <w:rFonts w:hint="default"/>
        <w:lang w:val="pl-PL" w:eastAsia="en-US" w:bidi="ar-SA"/>
      </w:rPr>
    </w:lvl>
  </w:abstractNum>
  <w:abstractNum w:abstractNumId="2" w15:restartNumberingAfterBreak="0">
    <w:nsid w:val="20714E1A"/>
    <w:multiLevelType w:val="hybridMultilevel"/>
    <w:tmpl w:val="E2068E46"/>
    <w:lvl w:ilvl="0" w:tplc="7F66DCEC">
      <w:numFmt w:val="bullet"/>
      <w:lvlText w:val="•"/>
      <w:lvlJc w:val="left"/>
      <w:pPr>
        <w:ind w:left="432" w:hanging="337"/>
      </w:pPr>
      <w:rPr>
        <w:rFonts w:ascii="Arial" w:eastAsia="Arial" w:hAnsi="Arial" w:cs="Arial" w:hint="default"/>
        <w:b w:val="0"/>
        <w:bCs w:val="0"/>
        <w:i w:val="0"/>
        <w:iCs w:val="0"/>
        <w:spacing w:val="0"/>
        <w:w w:val="109"/>
        <w:position w:val="-3"/>
        <w:sz w:val="24"/>
        <w:szCs w:val="24"/>
        <w:lang w:val="pl-PL" w:eastAsia="en-US" w:bidi="ar-SA"/>
      </w:rPr>
    </w:lvl>
    <w:lvl w:ilvl="1" w:tplc="E3CCC97A">
      <w:numFmt w:val="bullet"/>
      <w:lvlText w:val="•"/>
      <w:lvlJc w:val="left"/>
      <w:pPr>
        <w:ind w:left="808" w:hanging="337"/>
      </w:pPr>
      <w:rPr>
        <w:rFonts w:hint="default"/>
        <w:lang w:val="pl-PL" w:eastAsia="en-US" w:bidi="ar-SA"/>
      </w:rPr>
    </w:lvl>
    <w:lvl w:ilvl="2" w:tplc="C7E664A2">
      <w:numFmt w:val="bullet"/>
      <w:lvlText w:val="•"/>
      <w:lvlJc w:val="left"/>
      <w:pPr>
        <w:ind w:left="1176" w:hanging="337"/>
      </w:pPr>
      <w:rPr>
        <w:rFonts w:hint="default"/>
        <w:lang w:val="pl-PL" w:eastAsia="en-US" w:bidi="ar-SA"/>
      </w:rPr>
    </w:lvl>
    <w:lvl w:ilvl="3" w:tplc="375C1D44">
      <w:numFmt w:val="bullet"/>
      <w:lvlText w:val="•"/>
      <w:lvlJc w:val="left"/>
      <w:pPr>
        <w:ind w:left="1544" w:hanging="337"/>
      </w:pPr>
      <w:rPr>
        <w:rFonts w:hint="default"/>
        <w:lang w:val="pl-PL" w:eastAsia="en-US" w:bidi="ar-SA"/>
      </w:rPr>
    </w:lvl>
    <w:lvl w:ilvl="4" w:tplc="282A4080">
      <w:numFmt w:val="bullet"/>
      <w:lvlText w:val="•"/>
      <w:lvlJc w:val="left"/>
      <w:pPr>
        <w:ind w:left="1912" w:hanging="337"/>
      </w:pPr>
      <w:rPr>
        <w:rFonts w:hint="default"/>
        <w:lang w:val="pl-PL" w:eastAsia="en-US" w:bidi="ar-SA"/>
      </w:rPr>
    </w:lvl>
    <w:lvl w:ilvl="5" w:tplc="F48C3DA2">
      <w:numFmt w:val="bullet"/>
      <w:lvlText w:val="•"/>
      <w:lvlJc w:val="left"/>
      <w:pPr>
        <w:ind w:left="2281" w:hanging="337"/>
      </w:pPr>
      <w:rPr>
        <w:rFonts w:hint="default"/>
        <w:lang w:val="pl-PL" w:eastAsia="en-US" w:bidi="ar-SA"/>
      </w:rPr>
    </w:lvl>
    <w:lvl w:ilvl="6" w:tplc="EAD80DB2">
      <w:numFmt w:val="bullet"/>
      <w:lvlText w:val="•"/>
      <w:lvlJc w:val="left"/>
      <w:pPr>
        <w:ind w:left="2649" w:hanging="337"/>
      </w:pPr>
      <w:rPr>
        <w:rFonts w:hint="default"/>
        <w:lang w:val="pl-PL" w:eastAsia="en-US" w:bidi="ar-SA"/>
      </w:rPr>
    </w:lvl>
    <w:lvl w:ilvl="7" w:tplc="CA469924">
      <w:numFmt w:val="bullet"/>
      <w:lvlText w:val="•"/>
      <w:lvlJc w:val="left"/>
      <w:pPr>
        <w:ind w:left="3017" w:hanging="337"/>
      </w:pPr>
      <w:rPr>
        <w:rFonts w:hint="default"/>
        <w:lang w:val="pl-PL" w:eastAsia="en-US" w:bidi="ar-SA"/>
      </w:rPr>
    </w:lvl>
    <w:lvl w:ilvl="8" w:tplc="6DB64DB8">
      <w:numFmt w:val="bullet"/>
      <w:lvlText w:val="•"/>
      <w:lvlJc w:val="left"/>
      <w:pPr>
        <w:ind w:left="3385" w:hanging="337"/>
      </w:pPr>
      <w:rPr>
        <w:rFonts w:hint="default"/>
        <w:lang w:val="pl-PL" w:eastAsia="en-US" w:bidi="ar-SA"/>
      </w:rPr>
    </w:lvl>
  </w:abstractNum>
  <w:abstractNum w:abstractNumId="3" w15:restartNumberingAfterBreak="0">
    <w:nsid w:val="2EBD5281"/>
    <w:multiLevelType w:val="hybridMultilevel"/>
    <w:tmpl w:val="D23E1F48"/>
    <w:lvl w:ilvl="0" w:tplc="7C36858C">
      <w:numFmt w:val="bullet"/>
      <w:lvlText w:val="•"/>
      <w:lvlJc w:val="left"/>
      <w:pPr>
        <w:ind w:left="434" w:hanging="331"/>
      </w:pPr>
      <w:rPr>
        <w:rFonts w:ascii="Arial" w:eastAsia="Arial" w:hAnsi="Arial" w:cs="Arial" w:hint="default"/>
        <w:b w:val="0"/>
        <w:bCs w:val="0"/>
        <w:i w:val="0"/>
        <w:iCs w:val="0"/>
        <w:color w:val="030303"/>
        <w:spacing w:val="0"/>
        <w:w w:val="102"/>
        <w:sz w:val="18"/>
        <w:szCs w:val="18"/>
        <w:lang w:val="pl-PL" w:eastAsia="en-US" w:bidi="ar-SA"/>
      </w:rPr>
    </w:lvl>
    <w:lvl w:ilvl="1" w:tplc="EB221046">
      <w:numFmt w:val="bullet"/>
      <w:lvlText w:val="•"/>
      <w:lvlJc w:val="left"/>
      <w:pPr>
        <w:ind w:left="810" w:hanging="331"/>
      </w:pPr>
      <w:rPr>
        <w:rFonts w:hint="default"/>
        <w:lang w:val="pl-PL" w:eastAsia="en-US" w:bidi="ar-SA"/>
      </w:rPr>
    </w:lvl>
    <w:lvl w:ilvl="2" w:tplc="D360A5D0">
      <w:numFmt w:val="bullet"/>
      <w:lvlText w:val="•"/>
      <w:lvlJc w:val="left"/>
      <w:pPr>
        <w:ind w:left="1181" w:hanging="331"/>
      </w:pPr>
      <w:rPr>
        <w:rFonts w:hint="default"/>
        <w:lang w:val="pl-PL" w:eastAsia="en-US" w:bidi="ar-SA"/>
      </w:rPr>
    </w:lvl>
    <w:lvl w:ilvl="3" w:tplc="AADEA882">
      <w:numFmt w:val="bullet"/>
      <w:lvlText w:val="•"/>
      <w:lvlJc w:val="left"/>
      <w:pPr>
        <w:ind w:left="1552" w:hanging="331"/>
      </w:pPr>
      <w:rPr>
        <w:rFonts w:hint="default"/>
        <w:lang w:val="pl-PL" w:eastAsia="en-US" w:bidi="ar-SA"/>
      </w:rPr>
    </w:lvl>
    <w:lvl w:ilvl="4" w:tplc="0256E212">
      <w:numFmt w:val="bullet"/>
      <w:lvlText w:val="•"/>
      <w:lvlJc w:val="left"/>
      <w:pPr>
        <w:ind w:left="1923" w:hanging="331"/>
      </w:pPr>
      <w:rPr>
        <w:rFonts w:hint="default"/>
        <w:lang w:val="pl-PL" w:eastAsia="en-US" w:bidi="ar-SA"/>
      </w:rPr>
    </w:lvl>
    <w:lvl w:ilvl="5" w:tplc="90F6D93A">
      <w:numFmt w:val="bullet"/>
      <w:lvlText w:val="•"/>
      <w:lvlJc w:val="left"/>
      <w:pPr>
        <w:ind w:left="2294" w:hanging="331"/>
      </w:pPr>
      <w:rPr>
        <w:rFonts w:hint="default"/>
        <w:lang w:val="pl-PL" w:eastAsia="en-US" w:bidi="ar-SA"/>
      </w:rPr>
    </w:lvl>
    <w:lvl w:ilvl="6" w:tplc="20189064">
      <w:numFmt w:val="bullet"/>
      <w:lvlText w:val="•"/>
      <w:lvlJc w:val="left"/>
      <w:pPr>
        <w:ind w:left="2665" w:hanging="331"/>
      </w:pPr>
      <w:rPr>
        <w:rFonts w:hint="default"/>
        <w:lang w:val="pl-PL" w:eastAsia="en-US" w:bidi="ar-SA"/>
      </w:rPr>
    </w:lvl>
    <w:lvl w:ilvl="7" w:tplc="CF605488">
      <w:numFmt w:val="bullet"/>
      <w:lvlText w:val="•"/>
      <w:lvlJc w:val="left"/>
      <w:pPr>
        <w:ind w:left="3036" w:hanging="331"/>
      </w:pPr>
      <w:rPr>
        <w:rFonts w:hint="default"/>
        <w:lang w:val="pl-PL" w:eastAsia="en-US" w:bidi="ar-SA"/>
      </w:rPr>
    </w:lvl>
    <w:lvl w:ilvl="8" w:tplc="3572BB18">
      <w:numFmt w:val="bullet"/>
      <w:lvlText w:val="•"/>
      <w:lvlJc w:val="left"/>
      <w:pPr>
        <w:ind w:left="3407" w:hanging="331"/>
      </w:pPr>
      <w:rPr>
        <w:rFonts w:hint="default"/>
        <w:lang w:val="pl-PL" w:eastAsia="en-US" w:bidi="ar-SA"/>
      </w:rPr>
    </w:lvl>
  </w:abstractNum>
  <w:abstractNum w:abstractNumId="4" w15:restartNumberingAfterBreak="0">
    <w:nsid w:val="47B5409F"/>
    <w:multiLevelType w:val="hybridMultilevel"/>
    <w:tmpl w:val="A8AC6390"/>
    <w:lvl w:ilvl="0" w:tplc="26503E00">
      <w:numFmt w:val="bullet"/>
      <w:lvlText w:val="•"/>
      <w:lvlJc w:val="left"/>
      <w:pPr>
        <w:ind w:left="450" w:hanging="337"/>
      </w:pPr>
      <w:rPr>
        <w:rFonts w:ascii="Arial" w:eastAsia="Arial" w:hAnsi="Arial" w:cs="Arial" w:hint="default"/>
        <w:b w:val="0"/>
        <w:bCs w:val="0"/>
        <w:i w:val="0"/>
        <w:iCs w:val="0"/>
        <w:spacing w:val="0"/>
        <w:w w:val="101"/>
        <w:position w:val="-3"/>
        <w:sz w:val="24"/>
        <w:szCs w:val="24"/>
        <w:lang w:val="pl-PL" w:eastAsia="en-US" w:bidi="ar-SA"/>
      </w:rPr>
    </w:lvl>
    <w:lvl w:ilvl="1" w:tplc="E3969C82">
      <w:numFmt w:val="bullet"/>
      <w:lvlText w:val="•"/>
      <w:lvlJc w:val="left"/>
      <w:pPr>
        <w:ind w:left="828" w:hanging="337"/>
      </w:pPr>
      <w:rPr>
        <w:rFonts w:hint="default"/>
        <w:lang w:val="pl-PL" w:eastAsia="en-US" w:bidi="ar-SA"/>
      </w:rPr>
    </w:lvl>
    <w:lvl w:ilvl="2" w:tplc="AE102A46">
      <w:numFmt w:val="bullet"/>
      <w:lvlText w:val="•"/>
      <w:lvlJc w:val="left"/>
      <w:pPr>
        <w:ind w:left="1197" w:hanging="337"/>
      </w:pPr>
      <w:rPr>
        <w:rFonts w:hint="default"/>
        <w:lang w:val="pl-PL" w:eastAsia="en-US" w:bidi="ar-SA"/>
      </w:rPr>
    </w:lvl>
    <w:lvl w:ilvl="3" w:tplc="0412A1F8">
      <w:numFmt w:val="bullet"/>
      <w:lvlText w:val="•"/>
      <w:lvlJc w:val="left"/>
      <w:pPr>
        <w:ind w:left="1565" w:hanging="337"/>
      </w:pPr>
      <w:rPr>
        <w:rFonts w:hint="default"/>
        <w:lang w:val="pl-PL" w:eastAsia="en-US" w:bidi="ar-SA"/>
      </w:rPr>
    </w:lvl>
    <w:lvl w:ilvl="4" w:tplc="14E4B84C">
      <w:numFmt w:val="bullet"/>
      <w:lvlText w:val="•"/>
      <w:lvlJc w:val="left"/>
      <w:pPr>
        <w:ind w:left="1934" w:hanging="337"/>
      </w:pPr>
      <w:rPr>
        <w:rFonts w:hint="default"/>
        <w:lang w:val="pl-PL" w:eastAsia="en-US" w:bidi="ar-SA"/>
      </w:rPr>
    </w:lvl>
    <w:lvl w:ilvl="5" w:tplc="C9A69962">
      <w:numFmt w:val="bullet"/>
      <w:lvlText w:val="•"/>
      <w:lvlJc w:val="left"/>
      <w:pPr>
        <w:ind w:left="2303" w:hanging="337"/>
      </w:pPr>
      <w:rPr>
        <w:rFonts w:hint="default"/>
        <w:lang w:val="pl-PL" w:eastAsia="en-US" w:bidi="ar-SA"/>
      </w:rPr>
    </w:lvl>
    <w:lvl w:ilvl="6" w:tplc="E250A222">
      <w:numFmt w:val="bullet"/>
      <w:lvlText w:val="•"/>
      <w:lvlJc w:val="left"/>
      <w:pPr>
        <w:ind w:left="2671" w:hanging="337"/>
      </w:pPr>
      <w:rPr>
        <w:rFonts w:hint="default"/>
        <w:lang w:val="pl-PL" w:eastAsia="en-US" w:bidi="ar-SA"/>
      </w:rPr>
    </w:lvl>
    <w:lvl w:ilvl="7" w:tplc="5C5A59E8">
      <w:numFmt w:val="bullet"/>
      <w:lvlText w:val="•"/>
      <w:lvlJc w:val="left"/>
      <w:pPr>
        <w:ind w:left="3040" w:hanging="337"/>
      </w:pPr>
      <w:rPr>
        <w:rFonts w:hint="default"/>
        <w:lang w:val="pl-PL" w:eastAsia="en-US" w:bidi="ar-SA"/>
      </w:rPr>
    </w:lvl>
    <w:lvl w:ilvl="8" w:tplc="AEFC7908">
      <w:numFmt w:val="bullet"/>
      <w:lvlText w:val="•"/>
      <w:lvlJc w:val="left"/>
      <w:pPr>
        <w:ind w:left="3408" w:hanging="337"/>
      </w:pPr>
      <w:rPr>
        <w:rFonts w:hint="default"/>
        <w:lang w:val="pl-PL" w:eastAsia="en-US" w:bidi="ar-SA"/>
      </w:rPr>
    </w:lvl>
  </w:abstractNum>
  <w:abstractNum w:abstractNumId="5" w15:restartNumberingAfterBreak="0">
    <w:nsid w:val="49E93E4B"/>
    <w:multiLevelType w:val="hybridMultilevel"/>
    <w:tmpl w:val="E56841BE"/>
    <w:lvl w:ilvl="0" w:tplc="6FBE2998">
      <w:numFmt w:val="bullet"/>
      <w:lvlText w:val="•"/>
      <w:lvlJc w:val="left"/>
      <w:pPr>
        <w:ind w:left="429" w:hanging="334"/>
      </w:pPr>
      <w:rPr>
        <w:rFonts w:ascii="Arial" w:eastAsia="Arial" w:hAnsi="Arial" w:cs="Arial" w:hint="default"/>
        <w:b w:val="0"/>
        <w:bCs w:val="0"/>
        <w:i w:val="0"/>
        <w:iCs w:val="0"/>
        <w:spacing w:val="0"/>
        <w:w w:val="103"/>
        <w:position w:val="-3"/>
        <w:sz w:val="24"/>
        <w:szCs w:val="24"/>
        <w:lang w:val="pl-PL" w:eastAsia="en-US" w:bidi="ar-SA"/>
      </w:rPr>
    </w:lvl>
    <w:lvl w:ilvl="1" w:tplc="01F43A98">
      <w:numFmt w:val="bullet"/>
      <w:lvlText w:val="•"/>
      <w:lvlJc w:val="left"/>
      <w:pPr>
        <w:ind w:left="790" w:hanging="334"/>
      </w:pPr>
      <w:rPr>
        <w:rFonts w:hint="default"/>
        <w:lang w:val="pl-PL" w:eastAsia="en-US" w:bidi="ar-SA"/>
      </w:rPr>
    </w:lvl>
    <w:lvl w:ilvl="2" w:tplc="4C36165A">
      <w:numFmt w:val="bullet"/>
      <w:lvlText w:val="•"/>
      <w:lvlJc w:val="left"/>
      <w:pPr>
        <w:ind w:left="1160" w:hanging="334"/>
      </w:pPr>
      <w:rPr>
        <w:rFonts w:hint="default"/>
        <w:lang w:val="pl-PL" w:eastAsia="en-US" w:bidi="ar-SA"/>
      </w:rPr>
    </w:lvl>
    <w:lvl w:ilvl="3" w:tplc="C3AE947A">
      <w:numFmt w:val="bullet"/>
      <w:lvlText w:val="•"/>
      <w:lvlJc w:val="left"/>
      <w:pPr>
        <w:ind w:left="1530" w:hanging="334"/>
      </w:pPr>
      <w:rPr>
        <w:rFonts w:hint="default"/>
        <w:lang w:val="pl-PL" w:eastAsia="en-US" w:bidi="ar-SA"/>
      </w:rPr>
    </w:lvl>
    <w:lvl w:ilvl="4" w:tplc="95625BD2">
      <w:numFmt w:val="bullet"/>
      <w:lvlText w:val="•"/>
      <w:lvlJc w:val="left"/>
      <w:pPr>
        <w:ind w:left="1900" w:hanging="334"/>
      </w:pPr>
      <w:rPr>
        <w:rFonts w:hint="default"/>
        <w:lang w:val="pl-PL" w:eastAsia="en-US" w:bidi="ar-SA"/>
      </w:rPr>
    </w:lvl>
    <w:lvl w:ilvl="5" w:tplc="087AAFAA">
      <w:numFmt w:val="bullet"/>
      <w:lvlText w:val="•"/>
      <w:lvlJc w:val="left"/>
      <w:pPr>
        <w:ind w:left="2271" w:hanging="334"/>
      </w:pPr>
      <w:rPr>
        <w:rFonts w:hint="default"/>
        <w:lang w:val="pl-PL" w:eastAsia="en-US" w:bidi="ar-SA"/>
      </w:rPr>
    </w:lvl>
    <w:lvl w:ilvl="6" w:tplc="802C768C">
      <w:numFmt w:val="bullet"/>
      <w:lvlText w:val="•"/>
      <w:lvlJc w:val="left"/>
      <w:pPr>
        <w:ind w:left="2641" w:hanging="334"/>
      </w:pPr>
      <w:rPr>
        <w:rFonts w:hint="default"/>
        <w:lang w:val="pl-PL" w:eastAsia="en-US" w:bidi="ar-SA"/>
      </w:rPr>
    </w:lvl>
    <w:lvl w:ilvl="7" w:tplc="6C462F82">
      <w:numFmt w:val="bullet"/>
      <w:lvlText w:val="•"/>
      <w:lvlJc w:val="left"/>
      <w:pPr>
        <w:ind w:left="3011" w:hanging="334"/>
      </w:pPr>
      <w:rPr>
        <w:rFonts w:hint="default"/>
        <w:lang w:val="pl-PL" w:eastAsia="en-US" w:bidi="ar-SA"/>
      </w:rPr>
    </w:lvl>
    <w:lvl w:ilvl="8" w:tplc="FEAC98DC">
      <w:numFmt w:val="bullet"/>
      <w:lvlText w:val="•"/>
      <w:lvlJc w:val="left"/>
      <w:pPr>
        <w:ind w:left="3381" w:hanging="334"/>
      </w:pPr>
      <w:rPr>
        <w:rFonts w:hint="default"/>
        <w:lang w:val="pl-PL" w:eastAsia="en-US" w:bidi="ar-SA"/>
      </w:rPr>
    </w:lvl>
  </w:abstractNum>
  <w:abstractNum w:abstractNumId="6" w15:restartNumberingAfterBreak="0">
    <w:nsid w:val="587E32E1"/>
    <w:multiLevelType w:val="hybridMultilevel"/>
    <w:tmpl w:val="607CD25E"/>
    <w:lvl w:ilvl="0" w:tplc="033454A0">
      <w:numFmt w:val="bullet"/>
      <w:lvlText w:val="•"/>
      <w:lvlJc w:val="left"/>
      <w:pPr>
        <w:ind w:left="501" w:hanging="325"/>
      </w:pPr>
      <w:rPr>
        <w:rFonts w:ascii="Arial" w:eastAsia="Arial" w:hAnsi="Arial" w:cs="Arial" w:hint="default"/>
        <w:b w:val="0"/>
        <w:bCs w:val="0"/>
        <w:i w:val="0"/>
        <w:iCs w:val="0"/>
        <w:color w:val="080808"/>
        <w:spacing w:val="0"/>
        <w:w w:val="102"/>
        <w:sz w:val="18"/>
        <w:szCs w:val="18"/>
        <w:lang w:val="pl-PL" w:eastAsia="en-US" w:bidi="ar-SA"/>
      </w:rPr>
    </w:lvl>
    <w:lvl w:ilvl="1" w:tplc="EF263E4C">
      <w:numFmt w:val="bullet"/>
      <w:lvlText w:val="•"/>
      <w:lvlJc w:val="left"/>
      <w:pPr>
        <w:ind w:left="1303" w:hanging="325"/>
      </w:pPr>
      <w:rPr>
        <w:rFonts w:hint="default"/>
        <w:lang w:val="pl-PL" w:eastAsia="en-US" w:bidi="ar-SA"/>
      </w:rPr>
    </w:lvl>
    <w:lvl w:ilvl="2" w:tplc="328A2824">
      <w:numFmt w:val="bullet"/>
      <w:lvlText w:val="•"/>
      <w:lvlJc w:val="left"/>
      <w:pPr>
        <w:ind w:left="2107" w:hanging="325"/>
      </w:pPr>
      <w:rPr>
        <w:rFonts w:hint="default"/>
        <w:lang w:val="pl-PL" w:eastAsia="en-US" w:bidi="ar-SA"/>
      </w:rPr>
    </w:lvl>
    <w:lvl w:ilvl="3" w:tplc="539C0A54">
      <w:numFmt w:val="bullet"/>
      <w:lvlText w:val="•"/>
      <w:lvlJc w:val="left"/>
      <w:pPr>
        <w:ind w:left="2911" w:hanging="325"/>
      </w:pPr>
      <w:rPr>
        <w:rFonts w:hint="default"/>
        <w:lang w:val="pl-PL" w:eastAsia="en-US" w:bidi="ar-SA"/>
      </w:rPr>
    </w:lvl>
    <w:lvl w:ilvl="4" w:tplc="90CED374">
      <w:numFmt w:val="bullet"/>
      <w:lvlText w:val="•"/>
      <w:lvlJc w:val="left"/>
      <w:pPr>
        <w:ind w:left="3715" w:hanging="325"/>
      </w:pPr>
      <w:rPr>
        <w:rFonts w:hint="default"/>
        <w:lang w:val="pl-PL" w:eastAsia="en-US" w:bidi="ar-SA"/>
      </w:rPr>
    </w:lvl>
    <w:lvl w:ilvl="5" w:tplc="85E8BC08">
      <w:numFmt w:val="bullet"/>
      <w:lvlText w:val="•"/>
      <w:lvlJc w:val="left"/>
      <w:pPr>
        <w:ind w:left="4519" w:hanging="325"/>
      </w:pPr>
      <w:rPr>
        <w:rFonts w:hint="default"/>
        <w:lang w:val="pl-PL" w:eastAsia="en-US" w:bidi="ar-SA"/>
      </w:rPr>
    </w:lvl>
    <w:lvl w:ilvl="6" w:tplc="FDF6939C">
      <w:numFmt w:val="bullet"/>
      <w:lvlText w:val="•"/>
      <w:lvlJc w:val="left"/>
      <w:pPr>
        <w:ind w:left="5323" w:hanging="325"/>
      </w:pPr>
      <w:rPr>
        <w:rFonts w:hint="default"/>
        <w:lang w:val="pl-PL" w:eastAsia="en-US" w:bidi="ar-SA"/>
      </w:rPr>
    </w:lvl>
    <w:lvl w:ilvl="7" w:tplc="5396FA44">
      <w:numFmt w:val="bullet"/>
      <w:lvlText w:val="•"/>
      <w:lvlJc w:val="left"/>
      <w:pPr>
        <w:ind w:left="6127" w:hanging="325"/>
      </w:pPr>
      <w:rPr>
        <w:rFonts w:hint="default"/>
        <w:lang w:val="pl-PL" w:eastAsia="en-US" w:bidi="ar-SA"/>
      </w:rPr>
    </w:lvl>
    <w:lvl w:ilvl="8" w:tplc="ABE600F0">
      <w:numFmt w:val="bullet"/>
      <w:lvlText w:val="•"/>
      <w:lvlJc w:val="left"/>
      <w:pPr>
        <w:ind w:left="6931" w:hanging="325"/>
      </w:pPr>
      <w:rPr>
        <w:rFonts w:hint="default"/>
        <w:lang w:val="pl-PL" w:eastAsia="en-US" w:bidi="ar-SA"/>
      </w:rPr>
    </w:lvl>
  </w:abstractNum>
  <w:num w:numId="1" w16cid:durableId="1395736605">
    <w:abstractNumId w:val="0"/>
  </w:num>
  <w:num w:numId="2" w16cid:durableId="572936328">
    <w:abstractNumId w:val="3"/>
  </w:num>
  <w:num w:numId="3" w16cid:durableId="2135369344">
    <w:abstractNumId w:val="2"/>
  </w:num>
  <w:num w:numId="4" w16cid:durableId="685865622">
    <w:abstractNumId w:val="5"/>
  </w:num>
  <w:num w:numId="5" w16cid:durableId="1706906801">
    <w:abstractNumId w:val="4"/>
  </w:num>
  <w:num w:numId="6" w16cid:durableId="990909639">
    <w:abstractNumId w:val="1"/>
  </w:num>
  <w:num w:numId="7" w16cid:durableId="20457858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616C8"/>
    <w:rsid w:val="000B2EEE"/>
    <w:rsid w:val="00236EE8"/>
    <w:rsid w:val="00287EDB"/>
    <w:rsid w:val="002C3412"/>
    <w:rsid w:val="00435080"/>
    <w:rsid w:val="00444BCB"/>
    <w:rsid w:val="005616C8"/>
    <w:rsid w:val="00727E8E"/>
    <w:rsid w:val="007F68F0"/>
    <w:rsid w:val="008D6830"/>
    <w:rsid w:val="00B27E9A"/>
    <w:rsid w:val="00B90CEF"/>
    <w:rsid w:val="00C4771C"/>
    <w:rsid w:val="00C7223E"/>
    <w:rsid w:val="00F60E1E"/>
    <w:rsid w:val="00FF1C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96AFE"/>
  <w15:docId w15:val="{9E791627-4C73-468D-BAAA-1EA6BB3B8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18"/>
      <w:szCs w:val="18"/>
    </w:rPr>
  </w:style>
  <w:style w:type="paragraph" w:styleId="Tytu">
    <w:name w:val="Title"/>
    <w:basedOn w:val="Normalny"/>
    <w:uiPriority w:val="10"/>
    <w:qFormat/>
    <w:pPr>
      <w:spacing w:before="24" w:line="762" w:lineRule="exact"/>
      <w:ind w:left="1" w:right="53"/>
      <w:jc w:val="center"/>
    </w:pPr>
    <w:rPr>
      <w:rFonts w:ascii="Courier New" w:eastAsia="Courier New" w:hAnsi="Courier New" w:cs="Courier New"/>
      <w:b/>
      <w:bCs/>
      <w:sz w:val="69"/>
      <w:szCs w:val="69"/>
    </w:rPr>
  </w:style>
  <w:style w:type="paragraph" w:styleId="Akapitzlist">
    <w:name w:val="List Paragraph"/>
    <w:basedOn w:val="Normalny"/>
    <w:uiPriority w:val="1"/>
    <w:qFormat/>
    <w:pPr>
      <w:ind w:left="501" w:right="116" w:hanging="325"/>
      <w:jc w:val="both"/>
    </w:pPr>
  </w:style>
  <w:style w:type="paragraph" w:customStyle="1" w:styleId="TableParagraph">
    <w:name w:val="Table Paragraph"/>
    <w:basedOn w:val="Normalny"/>
    <w:uiPriority w:val="1"/>
    <w:qFormat/>
    <w:pPr>
      <w:spacing w:before="1"/>
      <w:ind w:left="426"/>
    </w:pPr>
  </w:style>
  <w:style w:type="paragraph" w:styleId="Nagwek">
    <w:name w:val="header"/>
    <w:basedOn w:val="Normalny"/>
    <w:link w:val="NagwekZnak"/>
    <w:uiPriority w:val="99"/>
    <w:unhideWhenUsed/>
    <w:rsid w:val="00F60E1E"/>
    <w:pPr>
      <w:tabs>
        <w:tab w:val="center" w:pos="4536"/>
        <w:tab w:val="right" w:pos="9072"/>
      </w:tabs>
    </w:pPr>
  </w:style>
  <w:style w:type="character" w:customStyle="1" w:styleId="NagwekZnak">
    <w:name w:val="Nagłówek Znak"/>
    <w:basedOn w:val="Domylnaczcionkaakapitu"/>
    <w:link w:val="Nagwek"/>
    <w:uiPriority w:val="99"/>
    <w:rsid w:val="00F60E1E"/>
    <w:rPr>
      <w:rFonts w:ascii="Arial" w:eastAsia="Arial" w:hAnsi="Arial" w:cs="Arial"/>
    </w:rPr>
  </w:style>
  <w:style w:type="paragraph" w:styleId="Stopka">
    <w:name w:val="footer"/>
    <w:basedOn w:val="Normalny"/>
    <w:link w:val="StopkaZnak"/>
    <w:uiPriority w:val="99"/>
    <w:unhideWhenUsed/>
    <w:rsid w:val="00F60E1E"/>
    <w:pPr>
      <w:tabs>
        <w:tab w:val="center" w:pos="4536"/>
        <w:tab w:val="right" w:pos="9072"/>
      </w:tabs>
    </w:pPr>
  </w:style>
  <w:style w:type="character" w:customStyle="1" w:styleId="StopkaZnak">
    <w:name w:val="Stopka Znak"/>
    <w:basedOn w:val="Domylnaczcionkaakapitu"/>
    <w:link w:val="Stopka"/>
    <w:uiPriority w:val="99"/>
    <w:rsid w:val="00F60E1E"/>
    <w:rPr>
      <w:rFonts w:ascii="Arial" w:eastAsia="Arial" w:hAnsi="Arial" w:cs="Arial"/>
    </w:rPr>
  </w:style>
  <w:style w:type="character" w:styleId="Odwoaniedokomentarza">
    <w:name w:val="annotation reference"/>
    <w:basedOn w:val="Domylnaczcionkaakapitu"/>
    <w:uiPriority w:val="99"/>
    <w:semiHidden/>
    <w:unhideWhenUsed/>
    <w:rsid w:val="00F60E1E"/>
    <w:rPr>
      <w:sz w:val="16"/>
      <w:szCs w:val="16"/>
    </w:rPr>
  </w:style>
  <w:style w:type="paragraph" w:styleId="Tekstkomentarza">
    <w:name w:val="annotation text"/>
    <w:basedOn w:val="Normalny"/>
    <w:link w:val="TekstkomentarzaZnak"/>
    <w:uiPriority w:val="99"/>
    <w:unhideWhenUsed/>
    <w:rsid w:val="00F60E1E"/>
    <w:rPr>
      <w:sz w:val="20"/>
      <w:szCs w:val="20"/>
    </w:rPr>
  </w:style>
  <w:style w:type="character" w:customStyle="1" w:styleId="TekstkomentarzaZnak">
    <w:name w:val="Tekst komentarza Znak"/>
    <w:basedOn w:val="Domylnaczcionkaakapitu"/>
    <w:link w:val="Tekstkomentarza"/>
    <w:uiPriority w:val="99"/>
    <w:rsid w:val="00F60E1E"/>
    <w:rPr>
      <w:rFonts w:ascii="Arial" w:eastAsia="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F60E1E"/>
    <w:rPr>
      <w:b/>
      <w:bCs/>
    </w:rPr>
  </w:style>
  <w:style w:type="character" w:customStyle="1" w:styleId="TematkomentarzaZnak">
    <w:name w:val="Temat komentarza Znak"/>
    <w:basedOn w:val="TekstkomentarzaZnak"/>
    <w:link w:val="Tematkomentarza"/>
    <w:uiPriority w:val="99"/>
    <w:semiHidden/>
    <w:rsid w:val="00F60E1E"/>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warszawa@pl.ey.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y.com/p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4317</Words>
  <Characters>22710</Characters>
  <Application>Microsoft Office Word</Application>
  <DocSecurity>0</DocSecurity>
  <Lines>597</Lines>
  <Paragraphs>458</Paragraphs>
  <ScaleCrop>false</ScaleCrop>
  <Company/>
  <LinksUpToDate>false</LinksUpToDate>
  <CharactersWithSpaces>26569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 CP Sprawozdanie z badania</dc:title>
  <cp:lastModifiedBy>Anna Adamska</cp:lastModifiedBy>
  <cp:revision>8</cp:revision>
  <dcterms:created xsi:type="dcterms:W3CDTF">2025-10-07T14:15:00Z</dcterms:created>
  <dcterms:modified xsi:type="dcterms:W3CDTF">2025-10-27T14:00:00Z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2025-10-07T00:00:00Z</vt:filetime>
  </property>
  <property fmtid="{D5CDD505-2E9C-101B-9397-08002B2CF9AE}" pid="3" name="Creator">
    <vt:lpwstr>Mozilla/5.0 (Windows NT 10.0; Win64; x64) AppleWebKit/537.36 (KHTML, like Gecko) Chrome/140.0.0.0 Safari/537.36 Edg/140.0.0.0</vt:lpwstr>
  </property>
  <property fmtid="{D5CDD505-2E9C-101B-9397-08002B2CF9AE}" pid="4" name="LastSaved">
    <vt:filetime>2025-10-07T00:00:00Z</vt:filetime>
  </property>
  <property fmtid="{D5CDD505-2E9C-101B-9397-08002B2CF9AE}" pid="5" name="Producer">
    <vt:lpwstr>Skia/PDF m140</vt:lpwstr>
  </property>
</Properties>
</file>